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C8756" w14:textId="77777777" w:rsidR="00A90A6A" w:rsidRDefault="00A90A6A" w:rsidP="00FA4686">
      <w:pPr>
        <w:pStyle w:val="CommentText"/>
        <w:jc w:val="center"/>
        <w:rPr>
          <w:b/>
        </w:rPr>
      </w:pPr>
    </w:p>
    <w:p w14:paraId="12C0DBA4" w14:textId="77777777" w:rsidR="00A90A6A" w:rsidRDefault="00A90A6A" w:rsidP="00FA4686">
      <w:pPr>
        <w:pStyle w:val="CommentText"/>
        <w:jc w:val="center"/>
        <w:rPr>
          <w:b/>
        </w:rPr>
      </w:pPr>
      <w:r>
        <w:rPr>
          <w:b/>
        </w:rPr>
        <w:t>Liverpool City Council</w:t>
      </w:r>
    </w:p>
    <w:p w14:paraId="0BB6DD8D" w14:textId="77777777" w:rsidR="00A90A6A" w:rsidRDefault="00A90A6A" w:rsidP="00FA4686">
      <w:pPr>
        <w:pStyle w:val="CommentText"/>
        <w:jc w:val="center"/>
        <w:rPr>
          <w:b/>
        </w:rPr>
      </w:pPr>
    </w:p>
    <w:p w14:paraId="015E1BD4" w14:textId="77777777" w:rsidR="00A90A6A" w:rsidRDefault="00A90A6A" w:rsidP="00FA4686">
      <w:pPr>
        <w:pStyle w:val="CommentText"/>
        <w:jc w:val="center"/>
        <w:rPr>
          <w:b/>
        </w:rPr>
      </w:pPr>
      <w:r>
        <w:rPr>
          <w:b/>
        </w:rPr>
        <w:t>Framework Access Agreement</w:t>
      </w:r>
      <w:r w:rsidR="00D70258">
        <w:rPr>
          <w:b/>
        </w:rPr>
        <w:t xml:space="preserve"> (Cover Sheet)</w:t>
      </w:r>
    </w:p>
    <w:p w14:paraId="125E50EF" w14:textId="77777777" w:rsidR="00A90A6A" w:rsidRDefault="00A90A6A" w:rsidP="00FA4686">
      <w:pPr>
        <w:pStyle w:val="CommentText"/>
        <w:pBdr>
          <w:bottom w:val="single" w:sz="6" w:space="1" w:color="auto"/>
        </w:pBdr>
        <w:jc w:val="center"/>
        <w:rPr>
          <w:b/>
        </w:rPr>
      </w:pPr>
    </w:p>
    <w:p w14:paraId="4753AE27" w14:textId="77777777" w:rsidR="00A90A6A" w:rsidRDefault="00A90A6A" w:rsidP="00FA4686">
      <w:pPr>
        <w:pStyle w:val="CommentText"/>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2"/>
      </w:tblGrid>
      <w:tr w:rsidR="00E4633D" w:rsidRPr="006242C4" w14:paraId="5001C6CC" w14:textId="77777777" w:rsidTr="00341D47">
        <w:trPr>
          <w:trHeight w:val="428"/>
          <w:jc w:val="center"/>
        </w:trPr>
        <w:tc>
          <w:tcPr>
            <w:tcW w:w="8523" w:type="dxa"/>
            <w:gridSpan w:val="2"/>
            <w:tcBorders>
              <w:bottom w:val="single" w:sz="4" w:space="0" w:color="auto"/>
            </w:tcBorders>
            <w:shd w:val="clear" w:color="auto" w:fill="auto"/>
          </w:tcPr>
          <w:p w14:paraId="704CDE87" w14:textId="77777777" w:rsidR="00E4633D" w:rsidRPr="006242C4" w:rsidRDefault="00E4633D" w:rsidP="00A90A6A">
            <w:pPr>
              <w:pStyle w:val="CommentText"/>
              <w:rPr>
                <w:b/>
              </w:rPr>
            </w:pPr>
            <w:r>
              <w:rPr>
                <w:b/>
              </w:rPr>
              <w:t xml:space="preserve">Framework Administration </w:t>
            </w:r>
            <w:r w:rsidRPr="006242C4">
              <w:rPr>
                <w:i/>
                <w:highlight w:val="green"/>
              </w:rPr>
              <w:t>(to be completed by LCC</w:t>
            </w:r>
            <w:r>
              <w:rPr>
                <w:i/>
              </w:rPr>
              <w:t>)</w:t>
            </w:r>
          </w:p>
        </w:tc>
      </w:tr>
      <w:tr w:rsidR="00D70258" w:rsidRPr="006242C4" w14:paraId="496F162F" w14:textId="77777777" w:rsidTr="00721D50">
        <w:trPr>
          <w:trHeight w:val="384"/>
          <w:jc w:val="center"/>
        </w:trPr>
        <w:tc>
          <w:tcPr>
            <w:tcW w:w="4261" w:type="dxa"/>
            <w:tcBorders>
              <w:bottom w:val="single" w:sz="4" w:space="0" w:color="auto"/>
            </w:tcBorders>
            <w:shd w:val="clear" w:color="auto" w:fill="auto"/>
          </w:tcPr>
          <w:p w14:paraId="6F344D5C" w14:textId="77777777" w:rsidR="00D70258" w:rsidRPr="006242C4" w:rsidRDefault="00D70258" w:rsidP="00A90A6A">
            <w:pPr>
              <w:pStyle w:val="CommentText"/>
              <w:rPr>
                <w:b/>
              </w:rPr>
            </w:pPr>
            <w:r w:rsidRPr="006242C4">
              <w:rPr>
                <w:b/>
              </w:rPr>
              <w:t>Date</w:t>
            </w:r>
            <w:r w:rsidR="00E4633D">
              <w:rPr>
                <w:b/>
              </w:rPr>
              <w:t xml:space="preserve"> of </w:t>
            </w:r>
            <w:r w:rsidR="00341D47">
              <w:rPr>
                <w:b/>
              </w:rPr>
              <w:t>Agreement</w:t>
            </w:r>
            <w:r w:rsidR="00E4633D">
              <w:rPr>
                <w:b/>
              </w:rPr>
              <w:t>:</w:t>
            </w:r>
          </w:p>
        </w:tc>
        <w:tc>
          <w:tcPr>
            <w:tcW w:w="4262" w:type="dxa"/>
            <w:tcBorders>
              <w:bottom w:val="single" w:sz="4" w:space="0" w:color="auto"/>
            </w:tcBorders>
            <w:shd w:val="clear" w:color="auto" w:fill="auto"/>
          </w:tcPr>
          <w:p w14:paraId="4488A6AD" w14:textId="77777777" w:rsidR="00D70258" w:rsidRPr="006242C4" w:rsidRDefault="00D70258" w:rsidP="00A90A6A">
            <w:pPr>
              <w:pStyle w:val="CommentText"/>
              <w:rPr>
                <w:b/>
              </w:rPr>
            </w:pPr>
          </w:p>
        </w:tc>
      </w:tr>
      <w:tr w:rsidR="00E4633D" w:rsidRPr="006242C4" w14:paraId="1C886718" w14:textId="77777777" w:rsidTr="00721D50">
        <w:trPr>
          <w:trHeight w:val="384"/>
          <w:jc w:val="center"/>
        </w:trPr>
        <w:tc>
          <w:tcPr>
            <w:tcW w:w="4261" w:type="dxa"/>
            <w:tcBorders>
              <w:bottom w:val="single" w:sz="4" w:space="0" w:color="auto"/>
            </w:tcBorders>
            <w:shd w:val="clear" w:color="auto" w:fill="auto"/>
          </w:tcPr>
          <w:p w14:paraId="45B2F306" w14:textId="77777777" w:rsidR="00E4633D" w:rsidRPr="006242C4" w:rsidRDefault="00E4633D" w:rsidP="00A90A6A">
            <w:pPr>
              <w:pStyle w:val="CommentText"/>
              <w:rPr>
                <w:b/>
              </w:rPr>
            </w:pPr>
            <w:r>
              <w:rPr>
                <w:b/>
              </w:rPr>
              <w:t>FAA Reference:</w:t>
            </w:r>
          </w:p>
        </w:tc>
        <w:tc>
          <w:tcPr>
            <w:tcW w:w="4262" w:type="dxa"/>
            <w:tcBorders>
              <w:bottom w:val="single" w:sz="4" w:space="0" w:color="auto"/>
            </w:tcBorders>
            <w:shd w:val="clear" w:color="auto" w:fill="auto"/>
          </w:tcPr>
          <w:p w14:paraId="7D2200DF" w14:textId="77777777" w:rsidR="00E4633D" w:rsidRPr="006242C4" w:rsidRDefault="00E4633D" w:rsidP="00A90A6A">
            <w:pPr>
              <w:pStyle w:val="CommentText"/>
              <w:rPr>
                <w:b/>
              </w:rPr>
            </w:pPr>
          </w:p>
        </w:tc>
      </w:tr>
      <w:tr w:rsidR="00E4633D" w:rsidRPr="006242C4" w14:paraId="358A1086" w14:textId="77777777" w:rsidTr="00721D50">
        <w:trPr>
          <w:trHeight w:val="384"/>
          <w:jc w:val="center"/>
        </w:trPr>
        <w:tc>
          <w:tcPr>
            <w:tcW w:w="4261" w:type="dxa"/>
            <w:tcBorders>
              <w:bottom w:val="single" w:sz="4" w:space="0" w:color="auto"/>
            </w:tcBorders>
            <w:shd w:val="clear" w:color="auto" w:fill="auto"/>
          </w:tcPr>
          <w:p w14:paraId="37E7D5C4" w14:textId="77777777" w:rsidR="00E4633D" w:rsidRPr="006242C4" w:rsidRDefault="00E4633D" w:rsidP="00A90A6A">
            <w:pPr>
              <w:pStyle w:val="CommentText"/>
              <w:rPr>
                <w:b/>
              </w:rPr>
            </w:pPr>
            <w:r>
              <w:rPr>
                <w:b/>
              </w:rPr>
              <w:t>FAA Processed by:</w:t>
            </w:r>
          </w:p>
        </w:tc>
        <w:tc>
          <w:tcPr>
            <w:tcW w:w="4262" w:type="dxa"/>
            <w:tcBorders>
              <w:bottom w:val="single" w:sz="4" w:space="0" w:color="auto"/>
            </w:tcBorders>
            <w:shd w:val="clear" w:color="auto" w:fill="auto"/>
          </w:tcPr>
          <w:p w14:paraId="54009612" w14:textId="77777777" w:rsidR="00E4633D" w:rsidRPr="006242C4" w:rsidRDefault="00E4633D" w:rsidP="00A90A6A">
            <w:pPr>
              <w:pStyle w:val="CommentText"/>
              <w:rPr>
                <w:b/>
              </w:rPr>
            </w:pPr>
          </w:p>
        </w:tc>
      </w:tr>
      <w:tr w:rsidR="00D70258" w:rsidRPr="006242C4" w14:paraId="3ECD3B12" w14:textId="77777777" w:rsidTr="00721D50">
        <w:trPr>
          <w:trHeight w:val="384"/>
          <w:jc w:val="center"/>
        </w:trPr>
        <w:tc>
          <w:tcPr>
            <w:tcW w:w="8523" w:type="dxa"/>
            <w:gridSpan w:val="2"/>
            <w:tcBorders>
              <w:left w:val="nil"/>
              <w:right w:val="nil"/>
            </w:tcBorders>
            <w:shd w:val="clear" w:color="auto" w:fill="auto"/>
          </w:tcPr>
          <w:p w14:paraId="0CA8B24F" w14:textId="77777777" w:rsidR="00D70258" w:rsidRPr="006242C4" w:rsidRDefault="00D70258" w:rsidP="00A90A6A">
            <w:pPr>
              <w:pStyle w:val="CommentText"/>
              <w:rPr>
                <w:b/>
              </w:rPr>
            </w:pPr>
          </w:p>
        </w:tc>
      </w:tr>
      <w:tr w:rsidR="00A2124D" w:rsidRPr="006242C4" w14:paraId="1458CB26" w14:textId="77777777" w:rsidTr="00721D50">
        <w:trPr>
          <w:trHeight w:val="384"/>
          <w:jc w:val="center"/>
        </w:trPr>
        <w:tc>
          <w:tcPr>
            <w:tcW w:w="8523" w:type="dxa"/>
            <w:gridSpan w:val="2"/>
            <w:shd w:val="clear" w:color="auto" w:fill="auto"/>
          </w:tcPr>
          <w:p w14:paraId="625FE81F" w14:textId="77777777" w:rsidR="00A2124D" w:rsidRPr="006242C4" w:rsidRDefault="00A2124D" w:rsidP="00A90A6A">
            <w:pPr>
              <w:pStyle w:val="CommentText"/>
              <w:rPr>
                <w:b/>
              </w:rPr>
            </w:pPr>
            <w:r w:rsidRPr="006242C4">
              <w:rPr>
                <w:b/>
              </w:rPr>
              <w:t>Details of Framework Agreement</w:t>
            </w:r>
          </w:p>
        </w:tc>
      </w:tr>
      <w:tr w:rsidR="00A90A6A" w:rsidRPr="006242C4" w14:paraId="1BFC5A0F" w14:textId="77777777" w:rsidTr="00721D50">
        <w:trPr>
          <w:trHeight w:val="702"/>
          <w:jc w:val="center"/>
        </w:trPr>
        <w:tc>
          <w:tcPr>
            <w:tcW w:w="4261" w:type="dxa"/>
            <w:shd w:val="clear" w:color="auto" w:fill="auto"/>
          </w:tcPr>
          <w:p w14:paraId="2D763B23" w14:textId="77777777" w:rsidR="00A90A6A" w:rsidRPr="00A90A6A" w:rsidRDefault="00A90A6A" w:rsidP="00A90A6A">
            <w:pPr>
              <w:pStyle w:val="CommentText"/>
            </w:pPr>
            <w:r>
              <w:t>Framework Name:</w:t>
            </w:r>
          </w:p>
        </w:tc>
        <w:tc>
          <w:tcPr>
            <w:tcW w:w="4262" w:type="dxa"/>
            <w:shd w:val="clear" w:color="auto" w:fill="auto"/>
          </w:tcPr>
          <w:p w14:paraId="2BC76863" w14:textId="77777777" w:rsidR="00A90A6A" w:rsidRPr="006242C4" w:rsidRDefault="00E4633D" w:rsidP="00A90A6A">
            <w:pPr>
              <w:pStyle w:val="CommentText"/>
              <w:rPr>
                <w:b/>
              </w:rPr>
            </w:pPr>
            <w:r>
              <w:rPr>
                <w:b/>
              </w:rPr>
              <w:t>Underground Refuse Solutions Framework</w:t>
            </w:r>
          </w:p>
        </w:tc>
      </w:tr>
      <w:tr w:rsidR="00A90A6A" w:rsidRPr="006242C4" w14:paraId="69262220" w14:textId="77777777" w:rsidTr="00721D50">
        <w:trPr>
          <w:trHeight w:val="384"/>
          <w:jc w:val="center"/>
        </w:trPr>
        <w:tc>
          <w:tcPr>
            <w:tcW w:w="4261" w:type="dxa"/>
            <w:shd w:val="clear" w:color="auto" w:fill="auto"/>
          </w:tcPr>
          <w:p w14:paraId="3B17BEDA" w14:textId="77777777" w:rsidR="00A90A6A" w:rsidRDefault="00A90A6A" w:rsidP="00A90A6A">
            <w:pPr>
              <w:pStyle w:val="CommentText"/>
            </w:pPr>
            <w:r>
              <w:t>LCC contract ref:</w:t>
            </w:r>
          </w:p>
        </w:tc>
        <w:tc>
          <w:tcPr>
            <w:tcW w:w="4262" w:type="dxa"/>
            <w:shd w:val="clear" w:color="auto" w:fill="auto"/>
          </w:tcPr>
          <w:p w14:paraId="19017D07" w14:textId="77777777" w:rsidR="00A90A6A" w:rsidRPr="006242C4" w:rsidRDefault="00E4633D" w:rsidP="00A90A6A">
            <w:pPr>
              <w:pStyle w:val="CommentText"/>
              <w:rPr>
                <w:b/>
              </w:rPr>
            </w:pPr>
            <w:r>
              <w:rPr>
                <w:b/>
              </w:rPr>
              <w:t>DN467196</w:t>
            </w:r>
          </w:p>
        </w:tc>
      </w:tr>
      <w:tr w:rsidR="00A90A6A" w:rsidRPr="006242C4" w14:paraId="0FAA1E1F" w14:textId="77777777" w:rsidTr="00721D50">
        <w:trPr>
          <w:trHeight w:val="384"/>
          <w:jc w:val="center"/>
        </w:trPr>
        <w:tc>
          <w:tcPr>
            <w:tcW w:w="4261" w:type="dxa"/>
            <w:shd w:val="clear" w:color="auto" w:fill="auto"/>
          </w:tcPr>
          <w:p w14:paraId="76F80262" w14:textId="77777777" w:rsidR="00A90A6A" w:rsidRDefault="00A2124D" w:rsidP="00A90A6A">
            <w:pPr>
              <w:pStyle w:val="CommentText"/>
            </w:pPr>
            <w:r>
              <w:t>Date of framework:</w:t>
            </w:r>
          </w:p>
        </w:tc>
        <w:tc>
          <w:tcPr>
            <w:tcW w:w="4262" w:type="dxa"/>
            <w:shd w:val="clear" w:color="auto" w:fill="auto"/>
          </w:tcPr>
          <w:p w14:paraId="238064DC" w14:textId="77777777" w:rsidR="00A90A6A" w:rsidRPr="006242C4" w:rsidRDefault="00E4633D" w:rsidP="00A90A6A">
            <w:pPr>
              <w:pStyle w:val="CommentText"/>
              <w:rPr>
                <w:b/>
              </w:rPr>
            </w:pPr>
            <w:r>
              <w:rPr>
                <w:b/>
              </w:rPr>
              <w:t>22</w:t>
            </w:r>
            <w:r w:rsidRPr="00E4633D">
              <w:rPr>
                <w:b/>
                <w:vertAlign w:val="superscript"/>
              </w:rPr>
              <w:t>nd</w:t>
            </w:r>
            <w:r>
              <w:rPr>
                <w:b/>
              </w:rPr>
              <w:t xml:space="preserve"> February 2021</w:t>
            </w:r>
          </w:p>
        </w:tc>
      </w:tr>
      <w:tr w:rsidR="00A2124D" w:rsidRPr="006242C4" w14:paraId="05515BBB" w14:textId="77777777" w:rsidTr="00721D50">
        <w:trPr>
          <w:trHeight w:val="384"/>
          <w:jc w:val="center"/>
        </w:trPr>
        <w:tc>
          <w:tcPr>
            <w:tcW w:w="4261" w:type="dxa"/>
            <w:tcBorders>
              <w:bottom w:val="single" w:sz="4" w:space="0" w:color="auto"/>
            </w:tcBorders>
            <w:shd w:val="clear" w:color="auto" w:fill="auto"/>
          </w:tcPr>
          <w:p w14:paraId="0C5248B5" w14:textId="77777777" w:rsidR="00A2124D" w:rsidRDefault="00A2124D" w:rsidP="00A90A6A">
            <w:pPr>
              <w:pStyle w:val="CommentText"/>
            </w:pPr>
            <w:r>
              <w:t>Framework term:</w:t>
            </w:r>
          </w:p>
        </w:tc>
        <w:tc>
          <w:tcPr>
            <w:tcW w:w="4262" w:type="dxa"/>
            <w:tcBorders>
              <w:bottom w:val="single" w:sz="4" w:space="0" w:color="auto"/>
            </w:tcBorders>
            <w:shd w:val="clear" w:color="auto" w:fill="auto"/>
          </w:tcPr>
          <w:p w14:paraId="4BBBF922" w14:textId="77777777" w:rsidR="00A2124D" w:rsidRPr="006242C4" w:rsidRDefault="00E4633D" w:rsidP="00A90A6A">
            <w:pPr>
              <w:pStyle w:val="CommentText"/>
              <w:rPr>
                <w:b/>
              </w:rPr>
            </w:pPr>
            <w:r>
              <w:rPr>
                <w:b/>
              </w:rPr>
              <w:t>4 Years</w:t>
            </w:r>
          </w:p>
        </w:tc>
      </w:tr>
      <w:tr w:rsidR="00A2124D" w:rsidRPr="006242C4" w14:paraId="6A299888" w14:textId="77777777" w:rsidTr="00721D50">
        <w:trPr>
          <w:trHeight w:val="384"/>
          <w:jc w:val="center"/>
        </w:trPr>
        <w:tc>
          <w:tcPr>
            <w:tcW w:w="4261" w:type="dxa"/>
            <w:tcBorders>
              <w:left w:val="nil"/>
              <w:right w:val="nil"/>
            </w:tcBorders>
            <w:shd w:val="clear" w:color="auto" w:fill="auto"/>
          </w:tcPr>
          <w:p w14:paraId="1D38C843" w14:textId="77777777" w:rsidR="00A2124D" w:rsidRDefault="00A2124D" w:rsidP="00A90A6A">
            <w:pPr>
              <w:pStyle w:val="CommentText"/>
            </w:pPr>
          </w:p>
        </w:tc>
        <w:tc>
          <w:tcPr>
            <w:tcW w:w="4262" w:type="dxa"/>
            <w:tcBorders>
              <w:left w:val="nil"/>
              <w:right w:val="nil"/>
            </w:tcBorders>
            <w:shd w:val="clear" w:color="auto" w:fill="auto"/>
          </w:tcPr>
          <w:p w14:paraId="26677614" w14:textId="77777777" w:rsidR="00A2124D" w:rsidRPr="006242C4" w:rsidRDefault="00A2124D" w:rsidP="00A90A6A">
            <w:pPr>
              <w:pStyle w:val="CommentText"/>
              <w:rPr>
                <w:b/>
              </w:rPr>
            </w:pPr>
          </w:p>
        </w:tc>
      </w:tr>
      <w:tr w:rsidR="00A2124D" w:rsidRPr="006242C4" w14:paraId="60B07CAE" w14:textId="77777777" w:rsidTr="00721D50">
        <w:trPr>
          <w:trHeight w:val="384"/>
          <w:jc w:val="center"/>
        </w:trPr>
        <w:tc>
          <w:tcPr>
            <w:tcW w:w="8523" w:type="dxa"/>
            <w:gridSpan w:val="2"/>
            <w:shd w:val="clear" w:color="auto" w:fill="auto"/>
          </w:tcPr>
          <w:p w14:paraId="58CD8D3F" w14:textId="77777777" w:rsidR="00A2124D" w:rsidRPr="006242C4" w:rsidRDefault="00A2124D" w:rsidP="00A90A6A">
            <w:pPr>
              <w:pStyle w:val="CommentText"/>
              <w:rPr>
                <w:b/>
              </w:rPr>
            </w:pPr>
            <w:r w:rsidRPr="006242C4">
              <w:rPr>
                <w:b/>
              </w:rPr>
              <w:t>Framework Customer</w:t>
            </w:r>
            <w:r w:rsidR="00D70258" w:rsidRPr="006242C4">
              <w:rPr>
                <w:b/>
              </w:rPr>
              <w:t xml:space="preserve"> </w:t>
            </w:r>
            <w:r w:rsidR="00D70258" w:rsidRPr="006242C4">
              <w:rPr>
                <w:i/>
                <w:highlight w:val="yellow"/>
              </w:rPr>
              <w:t>(to be completed by the Framework Customer)</w:t>
            </w:r>
          </w:p>
        </w:tc>
      </w:tr>
      <w:tr w:rsidR="00A2124D" w:rsidRPr="006242C4" w14:paraId="34D1AB40" w14:textId="77777777" w:rsidTr="00721D50">
        <w:trPr>
          <w:trHeight w:val="384"/>
          <w:jc w:val="center"/>
        </w:trPr>
        <w:tc>
          <w:tcPr>
            <w:tcW w:w="4261" w:type="dxa"/>
            <w:shd w:val="clear" w:color="auto" w:fill="auto"/>
          </w:tcPr>
          <w:p w14:paraId="6DAC1465" w14:textId="77777777" w:rsidR="00A2124D" w:rsidRPr="00A2124D" w:rsidRDefault="00A2124D" w:rsidP="00A90A6A">
            <w:pPr>
              <w:pStyle w:val="CommentText"/>
            </w:pPr>
            <w:r>
              <w:t>Name of Framework Customer:</w:t>
            </w:r>
          </w:p>
        </w:tc>
        <w:tc>
          <w:tcPr>
            <w:tcW w:w="4262" w:type="dxa"/>
            <w:shd w:val="clear" w:color="auto" w:fill="auto"/>
          </w:tcPr>
          <w:p w14:paraId="7D976A30" w14:textId="77777777" w:rsidR="00A2124D" w:rsidRPr="006242C4" w:rsidRDefault="00A2124D" w:rsidP="00A90A6A">
            <w:pPr>
              <w:pStyle w:val="CommentText"/>
              <w:rPr>
                <w:b/>
              </w:rPr>
            </w:pPr>
          </w:p>
        </w:tc>
      </w:tr>
      <w:tr w:rsidR="00A2124D" w:rsidRPr="006242C4" w14:paraId="6FAD30FB" w14:textId="77777777" w:rsidTr="00721D50">
        <w:trPr>
          <w:trHeight w:val="384"/>
          <w:jc w:val="center"/>
        </w:trPr>
        <w:tc>
          <w:tcPr>
            <w:tcW w:w="4261" w:type="dxa"/>
            <w:shd w:val="clear" w:color="auto" w:fill="auto"/>
          </w:tcPr>
          <w:p w14:paraId="6AA37ACF" w14:textId="77777777" w:rsidR="00A2124D" w:rsidRDefault="00A2124D" w:rsidP="00A90A6A">
            <w:pPr>
              <w:pStyle w:val="CommentText"/>
            </w:pPr>
            <w:r>
              <w:t>Principal Address:</w:t>
            </w:r>
          </w:p>
        </w:tc>
        <w:tc>
          <w:tcPr>
            <w:tcW w:w="4262" w:type="dxa"/>
            <w:shd w:val="clear" w:color="auto" w:fill="auto"/>
          </w:tcPr>
          <w:p w14:paraId="1CAB38C2" w14:textId="77777777" w:rsidR="00A2124D" w:rsidRPr="006242C4" w:rsidRDefault="00A2124D" w:rsidP="00A90A6A">
            <w:pPr>
              <w:pStyle w:val="CommentText"/>
              <w:rPr>
                <w:b/>
              </w:rPr>
            </w:pPr>
          </w:p>
        </w:tc>
      </w:tr>
      <w:tr w:rsidR="00A2124D" w:rsidRPr="006242C4" w14:paraId="29C904DF" w14:textId="77777777" w:rsidTr="00721D50">
        <w:trPr>
          <w:trHeight w:val="384"/>
          <w:jc w:val="center"/>
        </w:trPr>
        <w:tc>
          <w:tcPr>
            <w:tcW w:w="4261" w:type="dxa"/>
            <w:tcBorders>
              <w:bottom w:val="single" w:sz="4" w:space="0" w:color="auto"/>
            </w:tcBorders>
            <w:shd w:val="clear" w:color="auto" w:fill="auto"/>
          </w:tcPr>
          <w:p w14:paraId="623D0A76" w14:textId="77777777" w:rsidR="00A2124D" w:rsidRDefault="00A2124D" w:rsidP="00A90A6A">
            <w:pPr>
              <w:pStyle w:val="CommentText"/>
            </w:pPr>
            <w:r>
              <w:t>Type of contracting authority:</w:t>
            </w:r>
          </w:p>
        </w:tc>
        <w:tc>
          <w:tcPr>
            <w:tcW w:w="4262" w:type="dxa"/>
            <w:tcBorders>
              <w:bottom w:val="single" w:sz="4" w:space="0" w:color="auto"/>
            </w:tcBorders>
            <w:shd w:val="clear" w:color="auto" w:fill="auto"/>
          </w:tcPr>
          <w:p w14:paraId="5AC745AE" w14:textId="77777777" w:rsidR="00A2124D" w:rsidRPr="006242C4" w:rsidRDefault="00A2124D" w:rsidP="00A90A6A">
            <w:pPr>
              <w:pStyle w:val="CommentText"/>
              <w:rPr>
                <w:b/>
              </w:rPr>
            </w:pPr>
          </w:p>
        </w:tc>
      </w:tr>
      <w:tr w:rsidR="00A2124D" w:rsidRPr="006242C4" w14:paraId="5A6BDC4E" w14:textId="77777777" w:rsidTr="00721D50">
        <w:trPr>
          <w:trHeight w:val="384"/>
          <w:jc w:val="center"/>
        </w:trPr>
        <w:tc>
          <w:tcPr>
            <w:tcW w:w="4261" w:type="dxa"/>
            <w:tcBorders>
              <w:left w:val="nil"/>
              <w:right w:val="nil"/>
            </w:tcBorders>
            <w:shd w:val="clear" w:color="auto" w:fill="auto"/>
          </w:tcPr>
          <w:p w14:paraId="1FCC9EA1" w14:textId="77777777" w:rsidR="00A2124D" w:rsidRDefault="00A2124D" w:rsidP="00A90A6A">
            <w:pPr>
              <w:pStyle w:val="CommentText"/>
            </w:pPr>
          </w:p>
        </w:tc>
        <w:tc>
          <w:tcPr>
            <w:tcW w:w="4262" w:type="dxa"/>
            <w:tcBorders>
              <w:left w:val="nil"/>
              <w:right w:val="nil"/>
            </w:tcBorders>
            <w:shd w:val="clear" w:color="auto" w:fill="auto"/>
          </w:tcPr>
          <w:p w14:paraId="07EE4223" w14:textId="77777777" w:rsidR="00A2124D" w:rsidRPr="006242C4" w:rsidRDefault="00A2124D" w:rsidP="00A90A6A">
            <w:pPr>
              <w:pStyle w:val="CommentText"/>
              <w:rPr>
                <w:b/>
              </w:rPr>
            </w:pPr>
          </w:p>
        </w:tc>
      </w:tr>
      <w:tr w:rsidR="00A2124D" w:rsidRPr="006242C4" w14:paraId="5D307B86" w14:textId="77777777" w:rsidTr="00721D50">
        <w:trPr>
          <w:trHeight w:val="384"/>
          <w:jc w:val="center"/>
        </w:trPr>
        <w:tc>
          <w:tcPr>
            <w:tcW w:w="8523" w:type="dxa"/>
            <w:gridSpan w:val="2"/>
            <w:shd w:val="clear" w:color="auto" w:fill="auto"/>
          </w:tcPr>
          <w:p w14:paraId="76EF80E3" w14:textId="77777777" w:rsidR="00A2124D" w:rsidRPr="00D70258" w:rsidRDefault="00A2124D" w:rsidP="00A90A6A">
            <w:pPr>
              <w:pStyle w:val="CommentText"/>
            </w:pPr>
            <w:r w:rsidRPr="006242C4">
              <w:rPr>
                <w:b/>
              </w:rPr>
              <w:t>Principal Contact within Framework Customer’s organisation</w:t>
            </w:r>
            <w:r w:rsidR="00D70258" w:rsidRPr="006242C4">
              <w:rPr>
                <w:b/>
              </w:rPr>
              <w:t xml:space="preserve"> </w:t>
            </w:r>
            <w:r w:rsidR="00D70258" w:rsidRPr="006242C4">
              <w:rPr>
                <w:i/>
                <w:highlight w:val="yellow"/>
              </w:rPr>
              <w:t>(to be completed by the Framework Customer)</w:t>
            </w:r>
          </w:p>
        </w:tc>
      </w:tr>
      <w:tr w:rsidR="00A2124D" w:rsidRPr="00A2124D" w14:paraId="489E9C18" w14:textId="77777777" w:rsidTr="00721D50">
        <w:trPr>
          <w:trHeight w:val="384"/>
          <w:jc w:val="center"/>
        </w:trPr>
        <w:tc>
          <w:tcPr>
            <w:tcW w:w="4261" w:type="dxa"/>
            <w:shd w:val="clear" w:color="auto" w:fill="auto"/>
          </w:tcPr>
          <w:p w14:paraId="27FFB5A6" w14:textId="77777777" w:rsidR="00A2124D" w:rsidRPr="00A2124D" w:rsidRDefault="00A2124D" w:rsidP="00A90A6A">
            <w:pPr>
              <w:pStyle w:val="CommentText"/>
            </w:pPr>
            <w:r>
              <w:t>Name:</w:t>
            </w:r>
          </w:p>
        </w:tc>
        <w:tc>
          <w:tcPr>
            <w:tcW w:w="4262" w:type="dxa"/>
            <w:shd w:val="clear" w:color="auto" w:fill="auto"/>
          </w:tcPr>
          <w:p w14:paraId="17E85F59" w14:textId="77777777" w:rsidR="00A2124D" w:rsidRPr="000D79A1" w:rsidRDefault="00A2124D" w:rsidP="00A90A6A">
            <w:pPr>
              <w:pStyle w:val="CommentText"/>
              <w:rPr>
                <w:b/>
                <w:bCs/>
              </w:rPr>
            </w:pPr>
          </w:p>
        </w:tc>
      </w:tr>
      <w:tr w:rsidR="00A2124D" w:rsidRPr="00A2124D" w14:paraId="02B49D03" w14:textId="77777777" w:rsidTr="00721D50">
        <w:trPr>
          <w:trHeight w:val="384"/>
          <w:jc w:val="center"/>
        </w:trPr>
        <w:tc>
          <w:tcPr>
            <w:tcW w:w="4261" w:type="dxa"/>
            <w:shd w:val="clear" w:color="auto" w:fill="auto"/>
          </w:tcPr>
          <w:p w14:paraId="07D7187E" w14:textId="77777777" w:rsidR="00A2124D" w:rsidRDefault="00A2124D" w:rsidP="00A90A6A">
            <w:pPr>
              <w:pStyle w:val="CommentText"/>
            </w:pPr>
            <w:r>
              <w:t>Position:</w:t>
            </w:r>
          </w:p>
        </w:tc>
        <w:tc>
          <w:tcPr>
            <w:tcW w:w="4262" w:type="dxa"/>
            <w:shd w:val="clear" w:color="auto" w:fill="auto"/>
          </w:tcPr>
          <w:p w14:paraId="61D35018" w14:textId="77777777" w:rsidR="00A2124D" w:rsidRPr="000D79A1" w:rsidRDefault="00A2124D" w:rsidP="00A90A6A">
            <w:pPr>
              <w:pStyle w:val="CommentText"/>
              <w:rPr>
                <w:b/>
                <w:bCs/>
              </w:rPr>
            </w:pPr>
          </w:p>
        </w:tc>
      </w:tr>
      <w:tr w:rsidR="00A2124D" w:rsidRPr="00A2124D" w14:paraId="45CB2EF9" w14:textId="77777777" w:rsidTr="00721D50">
        <w:trPr>
          <w:trHeight w:val="384"/>
          <w:jc w:val="center"/>
        </w:trPr>
        <w:tc>
          <w:tcPr>
            <w:tcW w:w="4261" w:type="dxa"/>
            <w:shd w:val="clear" w:color="auto" w:fill="auto"/>
          </w:tcPr>
          <w:p w14:paraId="65F82BF8" w14:textId="77777777" w:rsidR="00A2124D" w:rsidRDefault="00A2124D" w:rsidP="00A90A6A">
            <w:pPr>
              <w:pStyle w:val="CommentText"/>
            </w:pPr>
            <w:r>
              <w:t>Telephone number:</w:t>
            </w:r>
          </w:p>
        </w:tc>
        <w:tc>
          <w:tcPr>
            <w:tcW w:w="4262" w:type="dxa"/>
            <w:shd w:val="clear" w:color="auto" w:fill="auto"/>
          </w:tcPr>
          <w:p w14:paraId="7CBBA58E" w14:textId="77777777" w:rsidR="00A2124D" w:rsidRPr="000D79A1" w:rsidRDefault="00A2124D" w:rsidP="00A90A6A">
            <w:pPr>
              <w:pStyle w:val="CommentText"/>
              <w:rPr>
                <w:b/>
                <w:bCs/>
              </w:rPr>
            </w:pPr>
          </w:p>
        </w:tc>
      </w:tr>
      <w:tr w:rsidR="00A2124D" w:rsidRPr="00A2124D" w14:paraId="0DF41CFD" w14:textId="77777777" w:rsidTr="000D79A1">
        <w:trPr>
          <w:trHeight w:val="384"/>
          <w:jc w:val="center"/>
        </w:trPr>
        <w:tc>
          <w:tcPr>
            <w:tcW w:w="4261" w:type="dxa"/>
            <w:tcBorders>
              <w:bottom w:val="single" w:sz="4" w:space="0" w:color="auto"/>
            </w:tcBorders>
            <w:shd w:val="clear" w:color="auto" w:fill="auto"/>
          </w:tcPr>
          <w:p w14:paraId="1ED5E000" w14:textId="77777777" w:rsidR="00A2124D" w:rsidRPr="000D79A1" w:rsidRDefault="00A2124D" w:rsidP="00A90A6A">
            <w:pPr>
              <w:pStyle w:val="CommentText"/>
            </w:pPr>
            <w:r w:rsidRPr="000D79A1">
              <w:t>E-mail address:</w:t>
            </w:r>
          </w:p>
        </w:tc>
        <w:tc>
          <w:tcPr>
            <w:tcW w:w="4262" w:type="dxa"/>
            <w:tcBorders>
              <w:bottom w:val="single" w:sz="4" w:space="0" w:color="auto"/>
            </w:tcBorders>
            <w:shd w:val="clear" w:color="auto" w:fill="auto"/>
          </w:tcPr>
          <w:p w14:paraId="0DFF15CD" w14:textId="77777777" w:rsidR="00A2124D" w:rsidRPr="000D79A1" w:rsidRDefault="00A2124D" w:rsidP="00A90A6A">
            <w:pPr>
              <w:pStyle w:val="CommentText"/>
              <w:rPr>
                <w:b/>
                <w:bCs/>
              </w:rPr>
            </w:pPr>
          </w:p>
        </w:tc>
      </w:tr>
      <w:tr w:rsidR="000D79A1" w:rsidRPr="006242C4" w14:paraId="18235FBE" w14:textId="77777777" w:rsidTr="00710D52">
        <w:trPr>
          <w:trHeight w:val="384"/>
          <w:jc w:val="center"/>
        </w:trPr>
        <w:tc>
          <w:tcPr>
            <w:tcW w:w="4261" w:type="dxa"/>
            <w:tcBorders>
              <w:left w:val="nil"/>
              <w:right w:val="nil"/>
            </w:tcBorders>
            <w:shd w:val="clear" w:color="auto" w:fill="auto"/>
          </w:tcPr>
          <w:p w14:paraId="6908BC45" w14:textId="77777777" w:rsidR="000D79A1" w:rsidRPr="000D79A1" w:rsidRDefault="000D79A1" w:rsidP="00710D52">
            <w:pPr>
              <w:pStyle w:val="CommentText"/>
            </w:pPr>
          </w:p>
        </w:tc>
        <w:tc>
          <w:tcPr>
            <w:tcW w:w="4262" w:type="dxa"/>
            <w:tcBorders>
              <w:left w:val="nil"/>
              <w:right w:val="nil"/>
            </w:tcBorders>
            <w:shd w:val="clear" w:color="auto" w:fill="auto"/>
          </w:tcPr>
          <w:p w14:paraId="0F2BA346" w14:textId="77777777" w:rsidR="000D79A1" w:rsidRPr="000D79A1" w:rsidRDefault="000D79A1" w:rsidP="00710D52">
            <w:pPr>
              <w:pStyle w:val="CommentText"/>
            </w:pPr>
          </w:p>
        </w:tc>
      </w:tr>
      <w:tr w:rsidR="000D79A1" w:rsidRPr="00A2124D" w14:paraId="14C55D08" w14:textId="77777777" w:rsidTr="00710D52">
        <w:trPr>
          <w:trHeight w:val="384"/>
          <w:jc w:val="center"/>
        </w:trPr>
        <w:tc>
          <w:tcPr>
            <w:tcW w:w="4261" w:type="dxa"/>
            <w:shd w:val="clear" w:color="auto" w:fill="auto"/>
          </w:tcPr>
          <w:p w14:paraId="201CAF0D" w14:textId="77777777" w:rsidR="000D79A1" w:rsidRPr="00A2124D" w:rsidRDefault="000D79A1" w:rsidP="00710D52">
            <w:pPr>
              <w:pStyle w:val="CommentText"/>
            </w:pPr>
            <w:r>
              <w:t>Lots to be used (If known):</w:t>
            </w:r>
          </w:p>
        </w:tc>
        <w:tc>
          <w:tcPr>
            <w:tcW w:w="4262" w:type="dxa"/>
            <w:shd w:val="clear" w:color="auto" w:fill="auto"/>
          </w:tcPr>
          <w:p w14:paraId="077453F4" w14:textId="77777777" w:rsidR="000D79A1" w:rsidRPr="000D79A1" w:rsidRDefault="000D79A1" w:rsidP="00710D52">
            <w:pPr>
              <w:pStyle w:val="CommentText"/>
              <w:rPr>
                <w:b/>
                <w:bCs/>
              </w:rPr>
            </w:pPr>
          </w:p>
        </w:tc>
      </w:tr>
      <w:tr w:rsidR="000D79A1" w:rsidRPr="00A2124D" w14:paraId="3F66DD24" w14:textId="77777777" w:rsidTr="00710D52">
        <w:trPr>
          <w:trHeight w:val="384"/>
          <w:jc w:val="center"/>
        </w:trPr>
        <w:tc>
          <w:tcPr>
            <w:tcW w:w="4261" w:type="dxa"/>
            <w:shd w:val="clear" w:color="auto" w:fill="auto"/>
          </w:tcPr>
          <w:p w14:paraId="728EC7E1" w14:textId="77777777" w:rsidR="000D79A1" w:rsidRDefault="000D79A1" w:rsidP="00710D52">
            <w:pPr>
              <w:pStyle w:val="CommentText"/>
            </w:pPr>
            <w:r>
              <w:t>Indicative Budget:</w:t>
            </w:r>
          </w:p>
        </w:tc>
        <w:tc>
          <w:tcPr>
            <w:tcW w:w="4262" w:type="dxa"/>
            <w:shd w:val="clear" w:color="auto" w:fill="auto"/>
          </w:tcPr>
          <w:p w14:paraId="6A9709FB" w14:textId="77777777" w:rsidR="000D79A1" w:rsidRPr="000D79A1" w:rsidRDefault="000D79A1" w:rsidP="00710D52">
            <w:pPr>
              <w:pStyle w:val="CommentText"/>
              <w:rPr>
                <w:b/>
                <w:bCs/>
              </w:rPr>
            </w:pPr>
          </w:p>
        </w:tc>
      </w:tr>
    </w:tbl>
    <w:p w14:paraId="683E8AB0" w14:textId="77777777" w:rsidR="00D70258" w:rsidRDefault="00D70258" w:rsidP="00D70258">
      <w:pPr>
        <w:pStyle w:val="CommentText"/>
        <w:rPr>
          <w:b/>
        </w:rPr>
      </w:pPr>
    </w:p>
    <w:p w14:paraId="425B6F42" w14:textId="77777777" w:rsidR="00D70258" w:rsidRDefault="00D70258" w:rsidP="00D70258">
      <w:pPr>
        <w:pStyle w:val="CommentText"/>
        <w:rPr>
          <w:i/>
        </w:rPr>
      </w:pPr>
      <w:r>
        <w:rPr>
          <w:i/>
        </w:rPr>
        <w:t>By signing and returning this Cover Sheet, the Framework Customer hereby agrees to be bound by the terms and conditions attached from the date stated at the top of this Cover Sheet.</w:t>
      </w:r>
    </w:p>
    <w:p w14:paraId="48C81157" w14:textId="77777777" w:rsidR="00D70258" w:rsidRDefault="00D70258" w:rsidP="00D70258">
      <w:pPr>
        <w:pStyle w:val="CommentText"/>
        <w:rPr>
          <w:i/>
        </w:rPr>
      </w:pPr>
    </w:p>
    <w:p w14:paraId="3E4E12B1" w14:textId="77777777" w:rsidR="00D70258" w:rsidRPr="00D70258" w:rsidRDefault="00D70258" w:rsidP="00D70258">
      <w:pPr>
        <w:pStyle w:val="CommentText"/>
        <w:rPr>
          <w:b/>
        </w:rPr>
      </w:pPr>
      <w:r w:rsidRPr="00D70258">
        <w:rPr>
          <w:b/>
        </w:rPr>
        <w:t xml:space="preserve">Signed for and on behalf of the Framework Customer by a duly authorised </w:t>
      </w:r>
      <w:proofErr w:type="gramStart"/>
      <w:r w:rsidRPr="00D70258">
        <w:rPr>
          <w:b/>
        </w:rPr>
        <w:t>signatory:-</w:t>
      </w:r>
      <w:proofErr w:type="gramEnd"/>
    </w:p>
    <w:p w14:paraId="542FF335" w14:textId="77777777" w:rsidR="00D70258" w:rsidRDefault="00D70258" w:rsidP="00D70258">
      <w:pPr>
        <w:pStyle w:val="CommentText"/>
        <w:rPr>
          <w:i/>
        </w:rPr>
      </w:pPr>
    </w:p>
    <w:p w14:paraId="4E92091A" w14:textId="77777777" w:rsidR="00F40438" w:rsidRDefault="00F40438" w:rsidP="00D70258">
      <w:pPr>
        <w:pStyle w:val="CommentText"/>
        <w:rPr>
          <w:i/>
        </w:rPr>
      </w:pPr>
    </w:p>
    <w:p w14:paraId="537403E9" w14:textId="77777777" w:rsidR="00E22DF9" w:rsidRDefault="00D70258" w:rsidP="00E22DF9">
      <w:pPr>
        <w:pStyle w:val="CommentText"/>
      </w:pPr>
      <w:proofErr w:type="gramStart"/>
      <w:r w:rsidRPr="00D70258">
        <w:t>Signed:…</w:t>
      </w:r>
      <w:proofErr w:type="gramEnd"/>
      <w:r w:rsidRPr="00D70258">
        <w:t>………………</w:t>
      </w:r>
      <w:r w:rsidR="00E22DF9">
        <w:t>………..</w:t>
      </w:r>
      <w:r w:rsidR="00E22DF9">
        <w:tab/>
      </w:r>
      <w:r w:rsidR="00E22DF9">
        <w:tab/>
      </w:r>
      <w:proofErr w:type="gramStart"/>
      <w:r w:rsidR="00E22DF9">
        <w:t>Date:…</w:t>
      </w:r>
      <w:proofErr w:type="gramEnd"/>
      <w:r w:rsidR="00E22DF9">
        <w:t>.....................................</w:t>
      </w:r>
    </w:p>
    <w:p w14:paraId="24C6D6D7" w14:textId="77777777" w:rsidR="00E22DF9" w:rsidRDefault="00E22DF9" w:rsidP="00E22DF9">
      <w:pPr>
        <w:pStyle w:val="CommentText"/>
      </w:pPr>
    </w:p>
    <w:p w14:paraId="7B2CBDBC" w14:textId="77777777" w:rsidR="00E22DF9" w:rsidRDefault="00E22DF9" w:rsidP="00E22DF9">
      <w:pPr>
        <w:pStyle w:val="CommentText"/>
      </w:pPr>
    </w:p>
    <w:p w14:paraId="7E77C802" w14:textId="77777777" w:rsidR="00E22DF9" w:rsidRDefault="00D70258" w:rsidP="00E22DF9">
      <w:pPr>
        <w:pStyle w:val="CommentText"/>
        <w:rPr>
          <w:b/>
          <w:u w:val="single"/>
        </w:rPr>
      </w:pPr>
      <w:proofErr w:type="gramStart"/>
      <w:r w:rsidRPr="00D70258">
        <w:t>Name:…</w:t>
      </w:r>
      <w:proofErr w:type="gramEnd"/>
      <w:r w:rsidRPr="00D70258">
        <w:t>…………………………</w:t>
      </w:r>
      <w:r>
        <w:tab/>
      </w:r>
      <w:r>
        <w:tab/>
      </w:r>
      <w:proofErr w:type="gramStart"/>
      <w:r w:rsidRPr="00D70258">
        <w:t>Position:…</w:t>
      </w:r>
      <w:proofErr w:type="gramEnd"/>
      <w:r w:rsidRPr="00D70258">
        <w:t>………………………</w:t>
      </w:r>
    </w:p>
    <w:p w14:paraId="5440F886" w14:textId="77777777" w:rsidR="00E22DF9" w:rsidRDefault="00E22DF9" w:rsidP="00E22DF9">
      <w:pPr>
        <w:pStyle w:val="CommentText"/>
        <w:jc w:val="center"/>
        <w:rPr>
          <w:b/>
          <w:u w:val="single"/>
        </w:rPr>
      </w:pPr>
    </w:p>
    <w:p w14:paraId="5B8B1A00" w14:textId="77777777" w:rsidR="001749A7" w:rsidRPr="00B2714A" w:rsidRDefault="001749A7" w:rsidP="00E22DF9">
      <w:pPr>
        <w:pStyle w:val="CommentText"/>
        <w:jc w:val="center"/>
        <w:rPr>
          <w:b/>
          <w:sz w:val="32"/>
          <w:szCs w:val="32"/>
          <w:u w:val="single"/>
        </w:rPr>
      </w:pPr>
      <w:r w:rsidRPr="00B2714A">
        <w:rPr>
          <w:b/>
          <w:sz w:val="32"/>
          <w:szCs w:val="32"/>
          <w:u w:val="single"/>
        </w:rPr>
        <w:t>ONCE COMPLETED, THIS FORM SHOULD BE SENT TO:</w:t>
      </w:r>
    </w:p>
    <w:p w14:paraId="02714C5E" w14:textId="77777777" w:rsidR="001749A7" w:rsidRPr="00B2714A" w:rsidRDefault="00000000" w:rsidP="00E22DF9">
      <w:pPr>
        <w:pStyle w:val="CommentText"/>
        <w:jc w:val="center"/>
        <w:rPr>
          <w:b/>
          <w:sz w:val="32"/>
          <w:szCs w:val="32"/>
          <w:u w:val="single"/>
        </w:rPr>
      </w:pPr>
      <w:hyperlink r:id="rId8" w:history="1">
        <w:r w:rsidR="001749A7" w:rsidRPr="00B2714A">
          <w:rPr>
            <w:rStyle w:val="Hyperlink"/>
            <w:b/>
            <w:sz w:val="32"/>
            <w:szCs w:val="32"/>
          </w:rPr>
          <w:t>CommercialProcurement@liverpool.gov.uk</w:t>
        </w:r>
      </w:hyperlink>
    </w:p>
    <w:p w14:paraId="4F8B67DF" w14:textId="77777777" w:rsidR="009C2DFD" w:rsidRPr="00E22DF9" w:rsidRDefault="00E22DF9" w:rsidP="00E22DF9">
      <w:pPr>
        <w:pStyle w:val="CommentText"/>
        <w:jc w:val="center"/>
      </w:pPr>
      <w:r>
        <w:rPr>
          <w:b/>
          <w:u w:val="single"/>
        </w:rPr>
        <w:br w:type="page"/>
      </w:r>
      <w:r w:rsidR="00953A27" w:rsidRPr="00721D50">
        <w:rPr>
          <w:b/>
          <w:sz w:val="24"/>
          <w:szCs w:val="24"/>
        </w:rPr>
        <w:lastRenderedPageBreak/>
        <w:t xml:space="preserve">Framework Access </w:t>
      </w:r>
      <w:r w:rsidR="00FA4686" w:rsidRPr="00721D50">
        <w:rPr>
          <w:b/>
          <w:sz w:val="24"/>
          <w:szCs w:val="24"/>
        </w:rPr>
        <w:t>Terms and Conditions</w:t>
      </w:r>
    </w:p>
    <w:p w14:paraId="321CB8EC" w14:textId="77777777" w:rsidR="009C2DFD" w:rsidRPr="009A4BB3" w:rsidRDefault="00A7499C" w:rsidP="00E22DF9">
      <w:pPr>
        <w:pStyle w:val="Heading1"/>
        <w:spacing w:line="240" w:lineRule="auto"/>
      </w:pPr>
      <w:bookmarkStart w:id="0" w:name="a515657"/>
      <w:bookmarkStart w:id="1" w:name="_Toc486337702"/>
      <w:bookmarkStart w:id="2" w:name="main"/>
      <w:r w:rsidRPr="009A4BB3">
        <w:t>Definitions and interpretation</w:t>
      </w:r>
      <w:bookmarkEnd w:id="0"/>
      <w:bookmarkEnd w:id="1"/>
    </w:p>
    <w:p w14:paraId="12EEF73A" w14:textId="77777777" w:rsidR="009C2DFD" w:rsidRPr="009A4BB3" w:rsidRDefault="00A7499C" w:rsidP="00E22DF9">
      <w:pPr>
        <w:pStyle w:val="Heading2"/>
        <w:spacing w:line="240" w:lineRule="auto"/>
      </w:pPr>
      <w:r w:rsidRPr="009A4BB3">
        <w:t>The definitions and rules of interpretation in this clause apply in this Agreement.</w:t>
      </w:r>
    </w:p>
    <w:p w14:paraId="748F161A" w14:textId="77777777" w:rsidR="00FA4686" w:rsidRPr="00FA4686" w:rsidRDefault="00FA4686" w:rsidP="00E22DF9">
      <w:pPr>
        <w:pStyle w:val="Definitions"/>
        <w:spacing w:line="240" w:lineRule="auto"/>
        <w:rPr>
          <w:rStyle w:val="Defterm"/>
          <w:b w:val="0"/>
        </w:rPr>
      </w:pPr>
      <w:r>
        <w:rPr>
          <w:rStyle w:val="Defterm"/>
        </w:rPr>
        <w:t xml:space="preserve">Authority: </w:t>
      </w:r>
      <w:r>
        <w:rPr>
          <w:rStyle w:val="Defterm"/>
          <w:b w:val="0"/>
        </w:rPr>
        <w:t xml:space="preserve">Liverpool City Council </w:t>
      </w:r>
      <w:r w:rsidRPr="00FA4686">
        <w:rPr>
          <w:rStyle w:val="Defterm"/>
          <w:b w:val="0"/>
        </w:rPr>
        <w:t>whose principal place of business is at Cunard Building, Water Street, Liverpool, L3 1DS</w:t>
      </w:r>
      <w:r>
        <w:rPr>
          <w:rStyle w:val="Defterm"/>
          <w:b w:val="0"/>
        </w:rPr>
        <w:t>.</w:t>
      </w:r>
    </w:p>
    <w:p w14:paraId="304FDFD4" w14:textId="77777777" w:rsidR="009C2DFD" w:rsidRPr="009A4BB3" w:rsidRDefault="00A7499C" w:rsidP="00E22DF9">
      <w:pPr>
        <w:pStyle w:val="Definitions"/>
        <w:spacing w:line="240" w:lineRule="auto"/>
      </w:pPr>
      <w:r w:rsidRPr="009A4BB3">
        <w:rPr>
          <w:rStyle w:val="Defterm"/>
        </w:rPr>
        <w:t xml:space="preserve">Call-off </w:t>
      </w:r>
      <w:r w:rsidR="004E782E" w:rsidRPr="009A4BB3">
        <w:rPr>
          <w:rStyle w:val="Defterm"/>
        </w:rPr>
        <w:t>Contract</w:t>
      </w:r>
      <w:r w:rsidRPr="009A4BB3">
        <w:rPr>
          <w:b/>
        </w:rPr>
        <w:t>:</w:t>
      </w:r>
      <w:r w:rsidRPr="009A4BB3">
        <w:t xml:space="preserve"> </w:t>
      </w:r>
      <w:r w:rsidR="004E782E" w:rsidRPr="009A4BB3">
        <w:t>refers to a contract for goods/services/works entered into pursuant to the Framework Agreement with a Framework Supplier</w:t>
      </w:r>
      <w:r w:rsidRPr="009A4BB3">
        <w:t>.</w:t>
      </w:r>
    </w:p>
    <w:p w14:paraId="034A8F94" w14:textId="77777777" w:rsidR="009C2DFD" w:rsidRPr="009A4BB3" w:rsidRDefault="00A7499C" w:rsidP="00E22DF9">
      <w:pPr>
        <w:pStyle w:val="Definitions"/>
        <w:spacing w:line="240" w:lineRule="auto"/>
      </w:pPr>
      <w:r w:rsidRPr="009A4BB3">
        <w:rPr>
          <w:rStyle w:val="Defterm"/>
        </w:rPr>
        <w:t>Confidential Information</w:t>
      </w:r>
      <w:r w:rsidRPr="009A4BB3">
        <w:rPr>
          <w:b/>
        </w:rPr>
        <w:t>:</w:t>
      </w:r>
      <w:r w:rsidRPr="009A4BB3">
        <w:t xml:space="preserve"> means any information, however it is conveyed, that relates to the business, affairs, developments, trade secrets, know-how, personnel and suppliers of the </w:t>
      </w:r>
      <w:r w:rsidR="00953A27" w:rsidRPr="009A4BB3">
        <w:t xml:space="preserve">Framework </w:t>
      </w:r>
      <w:r w:rsidR="009A4BB3" w:rsidRPr="009A4BB3">
        <w:t>Suppliers</w:t>
      </w:r>
      <w:r w:rsidRPr="009A4BB3">
        <w:t>, including intellectual property rights, together with all information derived from the above, and any other information clearly designated as being confidential (whether or not it is marked as "confidential") or which ought reasonably to be considered to be confidential.</w:t>
      </w:r>
    </w:p>
    <w:p w14:paraId="5E72BFC9" w14:textId="77777777" w:rsidR="00FA4686" w:rsidRPr="00FA4686" w:rsidRDefault="00FA4686" w:rsidP="00E22DF9">
      <w:pPr>
        <w:pStyle w:val="Definitions"/>
        <w:spacing w:line="240" w:lineRule="auto"/>
        <w:rPr>
          <w:rStyle w:val="Defterm"/>
          <w:b w:val="0"/>
        </w:rPr>
      </w:pPr>
      <w:r>
        <w:rPr>
          <w:rStyle w:val="Defterm"/>
        </w:rPr>
        <w:t>Cover Sheet:</w:t>
      </w:r>
      <w:r>
        <w:rPr>
          <w:rStyle w:val="Defterm"/>
          <w:b w:val="0"/>
        </w:rPr>
        <w:t xml:space="preserve"> shall refer to the access agreement pro-forma signed by the Framework Customer seeking access to the Framework Agreement and incorporating these terms and conditions. </w:t>
      </w:r>
    </w:p>
    <w:p w14:paraId="73346380" w14:textId="77777777" w:rsidR="00FA4686" w:rsidRPr="00FA4686" w:rsidRDefault="00FA4686" w:rsidP="00E22DF9">
      <w:pPr>
        <w:pStyle w:val="Definitions"/>
        <w:spacing w:line="240" w:lineRule="auto"/>
        <w:rPr>
          <w:rStyle w:val="Defterm"/>
          <w:b w:val="0"/>
        </w:rPr>
      </w:pPr>
      <w:r>
        <w:rPr>
          <w:rStyle w:val="Defterm"/>
        </w:rPr>
        <w:t xml:space="preserve">Framework Agreement: </w:t>
      </w:r>
      <w:r>
        <w:rPr>
          <w:rStyle w:val="Defterm"/>
          <w:b w:val="0"/>
        </w:rPr>
        <w:t>the framework agreement concluded by the Authority and referred to in the Cover Sheet.</w:t>
      </w:r>
    </w:p>
    <w:p w14:paraId="3BDA2268" w14:textId="77777777" w:rsidR="00FA4686" w:rsidRPr="00FA4686" w:rsidRDefault="00FA4686" w:rsidP="00E22DF9">
      <w:pPr>
        <w:pStyle w:val="Definitions"/>
        <w:spacing w:line="240" w:lineRule="auto"/>
        <w:rPr>
          <w:rStyle w:val="Defterm"/>
          <w:b w:val="0"/>
        </w:rPr>
      </w:pPr>
      <w:r>
        <w:rPr>
          <w:rStyle w:val="Defterm"/>
        </w:rPr>
        <w:t xml:space="preserve">Framework Customer: </w:t>
      </w:r>
      <w:r w:rsidR="00E22DF9">
        <w:rPr>
          <w:rStyle w:val="Defterm"/>
          <w:b w:val="0"/>
        </w:rPr>
        <w:t>the contracting a</w:t>
      </w:r>
      <w:r>
        <w:rPr>
          <w:rStyle w:val="Defterm"/>
          <w:b w:val="0"/>
        </w:rPr>
        <w:t>uthority referred to in the Cover Sheet.</w:t>
      </w:r>
    </w:p>
    <w:p w14:paraId="3A66C1D4" w14:textId="77777777" w:rsidR="00401E90" w:rsidRPr="009A4BB3" w:rsidRDefault="00401E90" w:rsidP="00E22DF9">
      <w:pPr>
        <w:pStyle w:val="Definitions"/>
        <w:spacing w:line="240" w:lineRule="auto"/>
        <w:rPr>
          <w:rStyle w:val="Defterm"/>
          <w:b w:val="0"/>
        </w:rPr>
      </w:pPr>
      <w:r w:rsidRPr="009A4BB3">
        <w:rPr>
          <w:rStyle w:val="Defterm"/>
        </w:rPr>
        <w:t>Framework Supplier:</w:t>
      </w:r>
      <w:r w:rsidRPr="009A4BB3">
        <w:rPr>
          <w:rStyle w:val="Defterm"/>
          <w:b w:val="0"/>
        </w:rPr>
        <w:t xml:space="preserve"> shall refer to suppliers/contractors appointed under the Framework Agreemen</w:t>
      </w:r>
      <w:r w:rsidR="00E22DF9">
        <w:rPr>
          <w:rStyle w:val="Defterm"/>
          <w:b w:val="0"/>
        </w:rPr>
        <w:t>t for provision of services to contracting a</w:t>
      </w:r>
      <w:r w:rsidRPr="009A4BB3">
        <w:rPr>
          <w:rStyle w:val="Defterm"/>
          <w:b w:val="0"/>
        </w:rPr>
        <w:t>uthorities pursuant to that Framework Agreement.</w:t>
      </w:r>
    </w:p>
    <w:p w14:paraId="1326B7E3" w14:textId="77777777" w:rsidR="009C2DFD" w:rsidRPr="009A4BB3" w:rsidRDefault="00A7499C" w:rsidP="00E22DF9">
      <w:pPr>
        <w:pStyle w:val="Definitions"/>
        <w:spacing w:line="240" w:lineRule="auto"/>
      </w:pPr>
      <w:r w:rsidRPr="009A4BB3">
        <w:rPr>
          <w:rStyle w:val="Defterm"/>
        </w:rPr>
        <w:t>Prohibited Act</w:t>
      </w:r>
      <w:r w:rsidRPr="009A4BB3">
        <w:rPr>
          <w:b/>
        </w:rPr>
        <w:t>:</w:t>
      </w:r>
      <w:r w:rsidRPr="009A4BB3">
        <w:t xml:space="preserve"> the following constitute Prohibited Acts:</w:t>
      </w:r>
    </w:p>
    <w:p w14:paraId="4F693916" w14:textId="77777777" w:rsidR="009C2DFD" w:rsidRPr="009A4BB3" w:rsidRDefault="00A7499C" w:rsidP="00E22DF9">
      <w:pPr>
        <w:pStyle w:val="Heading3"/>
        <w:spacing w:line="240" w:lineRule="auto"/>
      </w:pPr>
      <w:r w:rsidRPr="009A4BB3">
        <w:t>to directly or indirectly offer, promise or give any person working for or engaged by the Authority a financial or other advantage to:</w:t>
      </w:r>
    </w:p>
    <w:p w14:paraId="12BFCE9F" w14:textId="77777777" w:rsidR="009C2DFD" w:rsidRPr="009A4BB3" w:rsidRDefault="00A7499C" w:rsidP="00E22DF9">
      <w:pPr>
        <w:pStyle w:val="Heading4"/>
        <w:spacing w:line="240" w:lineRule="auto"/>
      </w:pPr>
      <w:r w:rsidRPr="009A4BB3">
        <w:t>induce that person to perform improperly a relevant function or activity; or</w:t>
      </w:r>
    </w:p>
    <w:p w14:paraId="63666421" w14:textId="77777777" w:rsidR="009C2DFD" w:rsidRPr="009A4BB3" w:rsidRDefault="00A7499C" w:rsidP="00E22DF9">
      <w:pPr>
        <w:pStyle w:val="Heading4"/>
        <w:spacing w:line="240" w:lineRule="auto"/>
      </w:pPr>
      <w:r w:rsidRPr="009A4BB3">
        <w:t>reward that person for improper performance of a relevant function or activity;</w:t>
      </w:r>
    </w:p>
    <w:p w14:paraId="6A1C32EF" w14:textId="77777777" w:rsidR="009C2DFD" w:rsidRPr="009A4BB3" w:rsidRDefault="00A7499C" w:rsidP="00E22DF9">
      <w:pPr>
        <w:pStyle w:val="Heading3"/>
        <w:spacing w:line="240" w:lineRule="auto"/>
      </w:pPr>
      <w:r w:rsidRPr="009A4BB3">
        <w:t>to directly or indirectly request, agree to receive or accept any financial or other advantage as an inducement or a reward for improper performance of a relevant function or activity in connection with this Framework Agreement;</w:t>
      </w:r>
    </w:p>
    <w:p w14:paraId="56DAD8B5" w14:textId="77777777" w:rsidR="009C2DFD" w:rsidRPr="009A4BB3" w:rsidRDefault="00A7499C" w:rsidP="00E22DF9">
      <w:pPr>
        <w:pStyle w:val="Heading3"/>
        <w:spacing w:line="240" w:lineRule="auto"/>
      </w:pPr>
      <w:r w:rsidRPr="009A4BB3">
        <w:t>committing any offence:</w:t>
      </w:r>
    </w:p>
    <w:p w14:paraId="24B88873" w14:textId="77777777" w:rsidR="009C2DFD" w:rsidRPr="009A4BB3" w:rsidRDefault="00A7499C" w:rsidP="00E22DF9">
      <w:pPr>
        <w:pStyle w:val="Heading4"/>
        <w:spacing w:line="240" w:lineRule="auto"/>
      </w:pPr>
      <w:r w:rsidRPr="009A4BB3">
        <w:t>under the Bribery Act 2010;</w:t>
      </w:r>
    </w:p>
    <w:p w14:paraId="56575E72" w14:textId="77777777" w:rsidR="009C2DFD" w:rsidRPr="009A4BB3" w:rsidRDefault="00A7499C" w:rsidP="00E22DF9">
      <w:pPr>
        <w:pStyle w:val="Heading4"/>
        <w:spacing w:line="240" w:lineRule="auto"/>
      </w:pPr>
      <w:r w:rsidRPr="009A4BB3">
        <w:t>under legislation creating offences concerning fraudulent acts;</w:t>
      </w:r>
    </w:p>
    <w:p w14:paraId="70CF1DDE" w14:textId="77777777" w:rsidR="009C2DFD" w:rsidRPr="009A4BB3" w:rsidRDefault="00A7499C" w:rsidP="00E22DF9">
      <w:pPr>
        <w:pStyle w:val="Heading4"/>
        <w:spacing w:line="240" w:lineRule="auto"/>
      </w:pPr>
      <w:r w:rsidRPr="009A4BB3">
        <w:t>at common law concerning fraudulent acts relating to this Framework Agreement or any other contract with the Authority; or</w:t>
      </w:r>
    </w:p>
    <w:p w14:paraId="54B9C169" w14:textId="77777777" w:rsidR="009C2DFD" w:rsidRPr="009A4BB3" w:rsidRDefault="00A7499C" w:rsidP="00E22DF9">
      <w:pPr>
        <w:pStyle w:val="Heading3"/>
        <w:spacing w:line="240" w:lineRule="auto"/>
      </w:pPr>
      <w:r w:rsidRPr="009A4BB3">
        <w:t xml:space="preserve">defrauding, attempting to defraud or conspiring to defraud </w:t>
      </w:r>
      <w:r w:rsidR="00E22DF9">
        <w:t>any public authority</w:t>
      </w:r>
      <w:r w:rsidRPr="009A4BB3">
        <w:t>.</w:t>
      </w:r>
    </w:p>
    <w:p w14:paraId="753DCB68" w14:textId="77777777" w:rsidR="009C2DFD" w:rsidRPr="009A4BB3" w:rsidRDefault="00A7499C" w:rsidP="00E22DF9">
      <w:pPr>
        <w:pStyle w:val="Heading2"/>
        <w:spacing w:line="240" w:lineRule="auto"/>
      </w:pPr>
      <w:r w:rsidRPr="009A4BB3">
        <w:t>The interpretation and construction of this Agreement shall all be subject to the following provisions:</w:t>
      </w:r>
    </w:p>
    <w:p w14:paraId="5EB1550F" w14:textId="77777777" w:rsidR="009C2DFD" w:rsidRPr="009A4BB3" w:rsidRDefault="00A7499C" w:rsidP="00E22DF9">
      <w:pPr>
        <w:pStyle w:val="Heading3"/>
        <w:spacing w:line="240" w:lineRule="auto"/>
      </w:pPr>
      <w:r w:rsidRPr="009A4BB3">
        <w:t>words importing the singular meaning include where the context so admits the plural meaning and vice versa;</w:t>
      </w:r>
    </w:p>
    <w:p w14:paraId="5418F917" w14:textId="77777777" w:rsidR="009C2DFD" w:rsidRPr="009A4BB3" w:rsidRDefault="00A7499C" w:rsidP="00E22DF9">
      <w:pPr>
        <w:pStyle w:val="Heading3"/>
        <w:spacing w:line="240" w:lineRule="auto"/>
      </w:pPr>
      <w:r w:rsidRPr="009A4BB3">
        <w:t>words importing the masculine include the feminine and the neuter;</w:t>
      </w:r>
    </w:p>
    <w:p w14:paraId="5D18BC9F" w14:textId="77777777" w:rsidR="009C2DFD" w:rsidRPr="009A4BB3" w:rsidRDefault="00A7499C" w:rsidP="00E22DF9">
      <w:pPr>
        <w:pStyle w:val="Heading3"/>
        <w:spacing w:line="240" w:lineRule="auto"/>
      </w:pPr>
      <w:r w:rsidRPr="009A4BB3">
        <w:t>the words "include", "includes" and "including" are to be construed as if they were immediately followed by the words "without limitation";</w:t>
      </w:r>
    </w:p>
    <w:p w14:paraId="190914BA" w14:textId="77777777" w:rsidR="009C2DFD" w:rsidRPr="009A4BB3" w:rsidRDefault="00A7499C" w:rsidP="00E22DF9">
      <w:pPr>
        <w:pStyle w:val="Heading3"/>
        <w:spacing w:line="240" w:lineRule="auto"/>
      </w:pPr>
      <w:r w:rsidRPr="009A4BB3">
        <w:t>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14:paraId="0C6CEBCE" w14:textId="77777777" w:rsidR="009C2DFD" w:rsidRDefault="00A7499C" w:rsidP="00E22DF9">
      <w:pPr>
        <w:pStyle w:val="Heading3"/>
        <w:spacing w:line="240" w:lineRule="auto"/>
      </w:pPr>
      <w:r w:rsidRPr="009A4BB3">
        <w:t>reference to a clause is a reference to the whole of that</w:t>
      </w:r>
      <w:r w:rsidR="00E4187D">
        <w:t xml:space="preserve"> clause unless stated otherwise;</w:t>
      </w:r>
    </w:p>
    <w:p w14:paraId="499EF535" w14:textId="77777777" w:rsidR="00E4187D" w:rsidRPr="009A4BB3" w:rsidRDefault="00E4187D" w:rsidP="00E22DF9">
      <w:pPr>
        <w:pStyle w:val="Heading3"/>
        <w:spacing w:line="240" w:lineRule="auto"/>
      </w:pPr>
      <w:r>
        <w:lastRenderedPageBreak/>
        <w:t>any reference to a “working day” shall be taken as a reference to any day except a Saturday, a Sunday and any day on which is not a public holiday in England.</w:t>
      </w:r>
    </w:p>
    <w:p w14:paraId="7231D502" w14:textId="77777777" w:rsidR="009C2DFD" w:rsidRPr="009A4BB3" w:rsidRDefault="00A37E29" w:rsidP="00E22DF9">
      <w:pPr>
        <w:pStyle w:val="Heading1"/>
        <w:spacing w:line="240" w:lineRule="auto"/>
      </w:pPr>
      <w:bookmarkStart w:id="3" w:name="a497126"/>
      <w:bookmarkStart w:id="4" w:name="_Ref486337166"/>
      <w:bookmarkStart w:id="5" w:name="_Toc486337704"/>
      <w:r w:rsidRPr="009A4BB3">
        <w:t>Use of the</w:t>
      </w:r>
      <w:r w:rsidR="00A7499C" w:rsidRPr="009A4BB3">
        <w:t xml:space="preserve"> Framework Agreement</w:t>
      </w:r>
      <w:bookmarkEnd w:id="3"/>
      <w:bookmarkEnd w:id="4"/>
      <w:bookmarkEnd w:id="5"/>
    </w:p>
    <w:bookmarkEnd w:id="2"/>
    <w:p w14:paraId="7CC596FF" w14:textId="77777777" w:rsidR="00A37E29" w:rsidRPr="009A4BB3" w:rsidRDefault="00F9385B" w:rsidP="00E22DF9">
      <w:pPr>
        <w:pStyle w:val="Heading2"/>
        <w:spacing w:line="240" w:lineRule="auto"/>
      </w:pPr>
      <w:r w:rsidRPr="00F60536">
        <w:t>T</w:t>
      </w:r>
      <w:r w:rsidR="00A37E29" w:rsidRPr="00F60536">
        <w:t>he Authority</w:t>
      </w:r>
      <w:r w:rsidRPr="00F60536">
        <w:t xml:space="preserve"> grants</w:t>
      </w:r>
      <w:r>
        <w:t xml:space="preserve"> to</w:t>
      </w:r>
      <w:r w:rsidR="00A37E29" w:rsidRPr="009A4BB3">
        <w:t xml:space="preserve"> the Framework Customer</w:t>
      </w:r>
      <w:r w:rsidR="00F60536">
        <w:t xml:space="preserve">, as from the date of this </w:t>
      </w:r>
      <w:r w:rsidR="00FA4686">
        <w:t>Agreement</w:t>
      </w:r>
      <w:r w:rsidR="00F60536">
        <w:t>,</w:t>
      </w:r>
      <w:r w:rsidR="00A37E29" w:rsidRPr="009A4BB3">
        <w:t xml:space="preserve"> access to use the Framework Agreement</w:t>
      </w:r>
      <w:r>
        <w:t xml:space="preserve"> and</w:t>
      </w:r>
      <w:r w:rsidR="00A37E29" w:rsidRPr="009A4BB3">
        <w:t xml:space="preserve"> the Framework Customer may enter into Call-Off Contracts provided they do so in accordance with the provisions of both this </w:t>
      </w:r>
      <w:r w:rsidR="00FA4686">
        <w:t>Agreement</w:t>
      </w:r>
      <w:r w:rsidR="00A37E29" w:rsidRPr="009A4BB3">
        <w:t xml:space="preserve"> and the Framework Agreement. </w:t>
      </w:r>
    </w:p>
    <w:p w14:paraId="433EBCC8" w14:textId="77777777" w:rsidR="009A4BB3" w:rsidRPr="009A4BB3" w:rsidRDefault="009A4BB3" w:rsidP="00E22DF9">
      <w:pPr>
        <w:pStyle w:val="Heading2"/>
        <w:spacing w:line="240" w:lineRule="auto"/>
      </w:pPr>
      <w:bookmarkStart w:id="6" w:name="_Ref486334592"/>
      <w:r w:rsidRPr="009A4BB3">
        <w:t xml:space="preserve">Subject to clause </w:t>
      </w:r>
      <w:r w:rsidR="00151218">
        <w:t>4</w:t>
      </w:r>
      <w:r w:rsidRPr="009A4BB3">
        <w:t>, the Authority shall disclose to the Framework Customer such of the Framework Suppliers’ tender documentation (received for the Framework Agreement) as the Authority determines appropriate to allow the Framework Customer to use the Framework Agreement.</w:t>
      </w:r>
      <w:bookmarkEnd w:id="6"/>
    </w:p>
    <w:p w14:paraId="58DD2024" w14:textId="77777777" w:rsidR="00A37E29" w:rsidRPr="009A4BB3" w:rsidRDefault="00A37E29" w:rsidP="00E22DF9">
      <w:pPr>
        <w:pStyle w:val="Heading2"/>
        <w:spacing w:line="240" w:lineRule="auto"/>
      </w:pPr>
      <w:r w:rsidRPr="009A4BB3">
        <w:t>The Framework Customer acknowledges and accepts that it shall be solely responsible for any Call-off Contracts which it enters into pursuant to the Framework Agreement and that the Authority shall have no responsibility in relation to any such Call-off Contract.</w:t>
      </w:r>
    </w:p>
    <w:p w14:paraId="3626FCF7" w14:textId="77777777" w:rsidR="002E35BA" w:rsidRPr="009A4BB3" w:rsidRDefault="002E35BA" w:rsidP="00E22DF9">
      <w:pPr>
        <w:pStyle w:val="Heading2"/>
        <w:spacing w:line="240" w:lineRule="auto"/>
      </w:pPr>
      <w:r w:rsidRPr="009A4BB3">
        <w:t>Within 14</w:t>
      </w:r>
      <w:r w:rsidR="00E4187D">
        <w:t xml:space="preserve"> working</w:t>
      </w:r>
      <w:r w:rsidRPr="009A4BB3">
        <w:t xml:space="preserve"> days of having awarded a Call-off Contract, the Framework Customer must inform the Authority in writing of the following details pertaining to that Call-off </w:t>
      </w:r>
      <w:proofErr w:type="gramStart"/>
      <w:r w:rsidRPr="009A4BB3">
        <w:t>Contract:-</w:t>
      </w:r>
      <w:proofErr w:type="gramEnd"/>
    </w:p>
    <w:p w14:paraId="10C35B30" w14:textId="77777777" w:rsidR="002E35BA" w:rsidRPr="009A4BB3" w:rsidRDefault="002E35BA" w:rsidP="00E22DF9">
      <w:pPr>
        <w:pStyle w:val="Heading3"/>
        <w:spacing w:line="240" w:lineRule="auto"/>
      </w:pPr>
      <w:r w:rsidRPr="009A4BB3">
        <w:t>The type or nature of the services, works or goods being supplied pursuant to the Call-off Contract;</w:t>
      </w:r>
    </w:p>
    <w:p w14:paraId="318DF08B" w14:textId="77777777" w:rsidR="002E35BA" w:rsidRPr="009A4BB3" w:rsidRDefault="002E35BA" w:rsidP="00E22DF9">
      <w:pPr>
        <w:pStyle w:val="Heading3"/>
        <w:spacing w:line="240" w:lineRule="auto"/>
      </w:pPr>
      <w:r w:rsidRPr="009A4BB3">
        <w:t xml:space="preserve">The name of the </w:t>
      </w:r>
      <w:r w:rsidR="00401E90" w:rsidRPr="009A4BB3">
        <w:t>Framework Supplier</w:t>
      </w:r>
      <w:r w:rsidRPr="009A4BB3">
        <w:t xml:space="preserve"> to whom the Call-off Contract has been awarded and, where applicable, the </w:t>
      </w:r>
      <w:r w:rsidR="00E4187D">
        <w:t>l</w:t>
      </w:r>
      <w:r w:rsidRPr="009A4BB3">
        <w:t>ot under which the Call-off Contract has been awarded;</w:t>
      </w:r>
    </w:p>
    <w:p w14:paraId="2D51CF80" w14:textId="77777777" w:rsidR="002E35BA" w:rsidRPr="009A4BB3" w:rsidRDefault="002E35BA" w:rsidP="00E22DF9">
      <w:pPr>
        <w:pStyle w:val="Heading3"/>
        <w:spacing w:line="240" w:lineRule="auto"/>
      </w:pPr>
      <w:r w:rsidRPr="009A4BB3">
        <w:t>The award method used (i.e. direct award or mini-competition); and</w:t>
      </w:r>
    </w:p>
    <w:p w14:paraId="36923485" w14:textId="77777777" w:rsidR="002E35BA" w:rsidRPr="009A4BB3" w:rsidRDefault="002E35BA" w:rsidP="00E22DF9">
      <w:pPr>
        <w:pStyle w:val="Heading3"/>
        <w:spacing w:line="240" w:lineRule="auto"/>
      </w:pPr>
      <w:r w:rsidRPr="009A4BB3">
        <w:t xml:space="preserve">The total value (exclusive of </w:t>
      </w:r>
      <w:r w:rsidR="007A5183">
        <w:t>value added tax</w:t>
      </w:r>
      <w:r w:rsidRPr="009A4BB3">
        <w:t>) of the Call-off Contract.</w:t>
      </w:r>
    </w:p>
    <w:p w14:paraId="21F5B60C" w14:textId="77777777" w:rsidR="009A4BB3" w:rsidRPr="009A4BB3" w:rsidRDefault="009A4BB3" w:rsidP="00E22DF9">
      <w:pPr>
        <w:pStyle w:val="Heading2"/>
        <w:spacing w:line="240" w:lineRule="auto"/>
      </w:pPr>
      <w:r w:rsidRPr="009A4BB3">
        <w:t>The Framework Customer must ensure that it pays all undisputed and valid invoices issued by a Framework Supplier within 30 days.</w:t>
      </w:r>
    </w:p>
    <w:p w14:paraId="6A55BB21" w14:textId="77777777" w:rsidR="00A37E29" w:rsidRPr="009A4BB3" w:rsidRDefault="00A37E29" w:rsidP="00E22DF9">
      <w:pPr>
        <w:pStyle w:val="Heading2"/>
        <w:spacing w:line="240" w:lineRule="auto"/>
      </w:pPr>
      <w:r w:rsidRPr="009A4BB3">
        <w:t xml:space="preserve">The Framework Customer must ensure that it does not use the Framework Agreement in a manner which would </w:t>
      </w:r>
      <w:r w:rsidR="007A5183">
        <w:t>cause harm to the reputation of the Authority.</w:t>
      </w:r>
    </w:p>
    <w:p w14:paraId="75F8D9D8" w14:textId="77777777" w:rsidR="004E782E" w:rsidRPr="009A4BB3" w:rsidRDefault="00401E90" w:rsidP="00E22DF9">
      <w:pPr>
        <w:pStyle w:val="Heading1"/>
        <w:spacing w:line="240" w:lineRule="auto"/>
      </w:pPr>
      <w:bookmarkStart w:id="7" w:name="_Ref486333594"/>
      <w:bookmarkStart w:id="8" w:name="_Toc486337705"/>
      <w:r w:rsidRPr="009A4BB3">
        <w:t>Role of the Authority</w:t>
      </w:r>
      <w:bookmarkEnd w:id="7"/>
      <w:bookmarkEnd w:id="8"/>
    </w:p>
    <w:p w14:paraId="66CA3325" w14:textId="77777777" w:rsidR="00401E90" w:rsidRPr="009A4BB3" w:rsidRDefault="00401E90" w:rsidP="00E22DF9">
      <w:pPr>
        <w:pStyle w:val="Heading2"/>
        <w:spacing w:line="240" w:lineRule="auto"/>
      </w:pPr>
      <w:r w:rsidRPr="009A4BB3">
        <w:t xml:space="preserve">The Authority shall monitor and supervise the operation of the Framework Agreement but this responsibility shall not, subject to the provisions set out in the remainder of this clause </w:t>
      </w:r>
      <w:r w:rsidR="00DE440B">
        <w:t>3</w:t>
      </w:r>
      <w:r w:rsidRPr="009A4BB3">
        <w:t>, extend to involvement in individual Call-off Contracts.</w:t>
      </w:r>
    </w:p>
    <w:p w14:paraId="7619000F" w14:textId="77777777" w:rsidR="00401E90" w:rsidRPr="009A4BB3" w:rsidRDefault="00401E90" w:rsidP="00E22DF9">
      <w:pPr>
        <w:pStyle w:val="Heading2"/>
        <w:spacing w:line="240" w:lineRule="auto"/>
      </w:pPr>
      <w:r w:rsidRPr="009A4BB3">
        <w:t xml:space="preserve">Where a Framework Customer encounters any of the following difficulties with a Framework Supplier under a Call-off Contract, it shall report these to the Authority who may, if permitted under the Framework Agreement, take further action, including termination of that Framework Supplier’s Framework </w:t>
      </w:r>
      <w:proofErr w:type="gramStart"/>
      <w:r w:rsidRPr="009A4BB3">
        <w:t>Agreement:-</w:t>
      </w:r>
      <w:proofErr w:type="gramEnd"/>
    </w:p>
    <w:p w14:paraId="382435B0" w14:textId="77777777" w:rsidR="00401E90" w:rsidRPr="009A4BB3" w:rsidRDefault="00401E90" w:rsidP="00E22DF9">
      <w:pPr>
        <w:pStyle w:val="Heading3"/>
        <w:spacing w:line="240" w:lineRule="auto"/>
      </w:pPr>
      <w:r w:rsidRPr="009A4BB3">
        <w:t>A failure to deliver services/goods/works in accordance with the performance regime set out in a Call-off Contract (whether that be by key performance indicators, milestones, outcomes or any other regime forming part of that contract);</w:t>
      </w:r>
    </w:p>
    <w:p w14:paraId="602C6CB0" w14:textId="77777777" w:rsidR="00401E90" w:rsidRPr="009A4BB3" w:rsidRDefault="00401E90" w:rsidP="00E22DF9">
      <w:pPr>
        <w:pStyle w:val="Heading3"/>
        <w:spacing w:line="240" w:lineRule="auto"/>
      </w:pPr>
      <w:r w:rsidRPr="009A4BB3">
        <w:t>A failure to complete the delivery of the services/goods/works under a Call-off Contract for a reason not caused directly by the actions of the Framework Customer;</w:t>
      </w:r>
    </w:p>
    <w:p w14:paraId="23528E48" w14:textId="77777777" w:rsidR="00401E90" w:rsidRPr="009A4BB3" w:rsidRDefault="00401E90" w:rsidP="00E22DF9">
      <w:pPr>
        <w:pStyle w:val="Heading3"/>
        <w:spacing w:line="240" w:lineRule="auto"/>
      </w:pPr>
      <w:r w:rsidRPr="009A4BB3">
        <w:t>A breach by the Framework Supplier of the terms of the Framework Agreement;</w:t>
      </w:r>
    </w:p>
    <w:p w14:paraId="31291AAD" w14:textId="77777777" w:rsidR="009A4BB3" w:rsidRPr="009A4BB3" w:rsidRDefault="009A4BB3" w:rsidP="00E22DF9">
      <w:pPr>
        <w:pStyle w:val="Heading3"/>
        <w:spacing w:line="240" w:lineRule="auto"/>
      </w:pPr>
      <w:r w:rsidRPr="009A4BB3">
        <w:lastRenderedPageBreak/>
        <w:t xml:space="preserve">The Framework Customer having to terminate the Call-off Contract early (i.e. prior to expiry of its contractual term) due to reasons relating solely to Framework Supplier (such as insolvency, breach of contract, etc); </w:t>
      </w:r>
    </w:p>
    <w:p w14:paraId="10F1335F" w14:textId="77777777" w:rsidR="009A4BB3" w:rsidRDefault="009A4BB3" w:rsidP="00E22DF9">
      <w:pPr>
        <w:pStyle w:val="Heading3"/>
        <w:spacing w:line="240" w:lineRule="auto"/>
      </w:pPr>
      <w:r w:rsidRPr="009A4BB3">
        <w:t>The Framework Customer having to initiate litigation against the Framework Supplier due to it having committed a default under the Call-off Contract;</w:t>
      </w:r>
    </w:p>
    <w:p w14:paraId="104C72CB" w14:textId="77777777" w:rsidR="009A4BB3" w:rsidRDefault="009A4BB3" w:rsidP="00E22DF9">
      <w:pPr>
        <w:pStyle w:val="Heading3"/>
        <w:spacing w:line="240" w:lineRule="auto"/>
      </w:pPr>
      <w:r>
        <w:t>Any instances of the Framework Customer having to rely on a bond or guarantee provided by a Framework Supplier due to a default committed by that Framework Supplier;</w:t>
      </w:r>
    </w:p>
    <w:p w14:paraId="5FDCA0D3" w14:textId="77777777" w:rsidR="00E636FF" w:rsidRPr="009A4BB3" w:rsidRDefault="00E636FF" w:rsidP="00E22DF9">
      <w:pPr>
        <w:pStyle w:val="Heading3"/>
        <w:spacing w:line="240" w:lineRule="auto"/>
      </w:pPr>
      <w:r>
        <w:t>The commission by the Framework Supplier or the Framework Customer of a Prohibited Act in relation to the Framework Agreement or a Call-off Contract.</w:t>
      </w:r>
    </w:p>
    <w:p w14:paraId="2E1298A5" w14:textId="77777777" w:rsidR="00401E90" w:rsidRPr="009A4BB3" w:rsidRDefault="00401E90" w:rsidP="00E22DF9">
      <w:pPr>
        <w:pStyle w:val="Heading3"/>
        <w:spacing w:line="240" w:lineRule="auto"/>
      </w:pPr>
      <w:r w:rsidRPr="009A4BB3">
        <w:t>Any actions by the Framework Supplier (or its personnel) which constituted a risk to users of the services/goods/works (including any vulnerable adults or children) regardless of whether the Framework Customer has categorised this as a safeguarding risk or otherwise.</w:t>
      </w:r>
    </w:p>
    <w:p w14:paraId="1A76AB30" w14:textId="77777777" w:rsidR="00401E90" w:rsidRDefault="00401E90" w:rsidP="00E22DF9">
      <w:pPr>
        <w:pStyle w:val="Heading2"/>
        <w:spacing w:line="240" w:lineRule="auto"/>
      </w:pPr>
      <w:r w:rsidRPr="009A4BB3">
        <w:t xml:space="preserve">The Authority will not act as adjudicator of disputes between Framework Customers and Framework Suppliers. Any disputes of this nature shall be dealt with in accordance with the dispute resolution procedure(s) set out in the appropriate Call-off Contract and without involvement of the Authority. The Authority shall however be informed of any such disputes and may monitor these where the Authority deems this necessary for the proper operation and supervision of the Framework Agreement. </w:t>
      </w:r>
    </w:p>
    <w:p w14:paraId="55922195" w14:textId="77777777" w:rsidR="00E4187D" w:rsidRPr="009A4BB3" w:rsidRDefault="00E4187D" w:rsidP="00E22DF9">
      <w:pPr>
        <w:pStyle w:val="Heading2"/>
        <w:spacing w:line="240" w:lineRule="auto"/>
      </w:pPr>
      <w:r>
        <w:t>The Authority shall notify the Framework Customer within 28 working days of any decision to suspend a Framework Supplier from the Framework Agreement and of the termination of a Framework Agreement.</w:t>
      </w:r>
    </w:p>
    <w:p w14:paraId="621F4677" w14:textId="77777777" w:rsidR="004E782E" w:rsidRPr="009A4BB3" w:rsidRDefault="009A4BB3" w:rsidP="00E22DF9">
      <w:pPr>
        <w:pStyle w:val="Heading1"/>
        <w:spacing w:line="240" w:lineRule="auto"/>
      </w:pPr>
      <w:bookmarkStart w:id="9" w:name="_Ref486334455"/>
      <w:bookmarkStart w:id="10" w:name="_Toc486337706"/>
      <w:r w:rsidRPr="009A4BB3">
        <w:t>Confidentiality</w:t>
      </w:r>
      <w:bookmarkEnd w:id="9"/>
      <w:bookmarkEnd w:id="10"/>
    </w:p>
    <w:p w14:paraId="64DF2E4D" w14:textId="77777777" w:rsidR="009A4BB3" w:rsidRDefault="009A4BB3" w:rsidP="00E22DF9">
      <w:pPr>
        <w:pStyle w:val="Heading2"/>
        <w:numPr>
          <w:ilvl w:val="0"/>
          <w:numId w:val="0"/>
        </w:numPr>
        <w:spacing w:line="240" w:lineRule="auto"/>
        <w:ind w:left="720"/>
      </w:pPr>
      <w:r>
        <w:t>The Framework Customer acknowledges and agrees that it shall keep confidential all Confidential Information contained within the Framework Suppliers’ tender documentation (to the extent this has been disclosed to the Framework Customer by the Authority under clause</w:t>
      </w:r>
      <w:r w:rsidR="00DE440B">
        <w:t xml:space="preserve"> 2.2</w:t>
      </w:r>
      <w:r>
        <w:t>). This obligation shall not apply to any disclosure of such Confidential Information required by law, a decision of a court of competent jurisdiction or a decision of a regulatory or law enforcement body.</w:t>
      </w:r>
    </w:p>
    <w:p w14:paraId="61002F77" w14:textId="77777777" w:rsidR="004E782E" w:rsidRDefault="00E636FF" w:rsidP="00E22DF9">
      <w:pPr>
        <w:pStyle w:val="Heading1"/>
        <w:spacing w:line="240" w:lineRule="auto"/>
      </w:pPr>
      <w:bookmarkStart w:id="11" w:name="_Toc486337707"/>
      <w:r>
        <w:t>Termination</w:t>
      </w:r>
      <w:bookmarkEnd w:id="11"/>
    </w:p>
    <w:p w14:paraId="5F29CCDC" w14:textId="77777777" w:rsidR="00E636FF" w:rsidRDefault="00E636FF" w:rsidP="00E22DF9">
      <w:pPr>
        <w:pStyle w:val="Heading2"/>
        <w:spacing w:line="240" w:lineRule="auto"/>
      </w:pPr>
      <w:r>
        <w:t xml:space="preserve">The Authority may terminate this </w:t>
      </w:r>
      <w:r w:rsidR="00FA4686">
        <w:t>Agreement</w:t>
      </w:r>
      <w:r>
        <w:t xml:space="preserve"> </w:t>
      </w:r>
      <w:r w:rsidR="007A5183">
        <w:t>with immediate effect</w:t>
      </w:r>
      <w:r>
        <w:t xml:space="preserve"> where:</w:t>
      </w:r>
    </w:p>
    <w:p w14:paraId="61A4EB96" w14:textId="77777777" w:rsidR="003F1F93" w:rsidRDefault="00E636FF" w:rsidP="00E22DF9">
      <w:pPr>
        <w:pStyle w:val="Heading3"/>
        <w:spacing w:line="240" w:lineRule="auto"/>
      </w:pPr>
      <w:r>
        <w:t xml:space="preserve">The Framework Agreement </w:t>
      </w:r>
      <w:r w:rsidR="003F1F93">
        <w:t>is terminated early, prior to the expiry of its contractual term;</w:t>
      </w:r>
    </w:p>
    <w:p w14:paraId="0EEEC744" w14:textId="77777777" w:rsidR="003F1F93" w:rsidRDefault="003F1F93" w:rsidP="00E22DF9">
      <w:pPr>
        <w:pStyle w:val="Heading3"/>
        <w:spacing w:line="240" w:lineRule="auto"/>
      </w:pPr>
      <w:r>
        <w:t xml:space="preserve">The Framework Agreement or this </w:t>
      </w:r>
      <w:r w:rsidR="00FA4686">
        <w:t>Agreement</w:t>
      </w:r>
      <w:r>
        <w:t xml:space="preserve"> is found to be in breach of the Publ</w:t>
      </w:r>
      <w:r w:rsidR="007A5183">
        <w:t>ic Contracts Regulations 2015</w:t>
      </w:r>
      <w:r>
        <w:t>; or</w:t>
      </w:r>
    </w:p>
    <w:p w14:paraId="795F3326" w14:textId="77777777" w:rsidR="00E636FF" w:rsidRDefault="00E636FF" w:rsidP="00E22DF9">
      <w:pPr>
        <w:pStyle w:val="Heading3"/>
        <w:spacing w:line="240" w:lineRule="auto"/>
      </w:pPr>
      <w:r>
        <w:t>The Framework Customer commits a Prohibited Act in relation to the Framework A</w:t>
      </w:r>
      <w:r w:rsidR="003F1F93">
        <w:t>greement or a Call-off Contract.</w:t>
      </w:r>
    </w:p>
    <w:p w14:paraId="543A2287" w14:textId="77777777" w:rsidR="003F1F93" w:rsidRDefault="003F1F93" w:rsidP="00E22DF9">
      <w:pPr>
        <w:pStyle w:val="Heading2"/>
        <w:spacing w:line="240" w:lineRule="auto"/>
      </w:pPr>
      <w:r>
        <w:t xml:space="preserve">Termination of this </w:t>
      </w:r>
      <w:r w:rsidR="00FA4686">
        <w:t>Agreement</w:t>
      </w:r>
      <w:r>
        <w:t xml:space="preserve"> shall only serve to cease the Framework Customer’s ability to use the Framework Agreement with effect from the date of termination</w:t>
      </w:r>
      <w:r w:rsidR="00316ED7">
        <w:t xml:space="preserve"> and </w:t>
      </w:r>
      <w:r>
        <w:t>shall not affect any Call-off Contracts entered into by the Framework Customer prior to the date of termination.</w:t>
      </w:r>
    </w:p>
    <w:p w14:paraId="554B7A45" w14:textId="77777777" w:rsidR="004E782E" w:rsidRPr="009A4BB3" w:rsidRDefault="004E782E" w:rsidP="00E22DF9">
      <w:pPr>
        <w:pStyle w:val="Heading1"/>
        <w:spacing w:line="240" w:lineRule="auto"/>
      </w:pPr>
      <w:bookmarkStart w:id="12" w:name="_Toc486337708"/>
      <w:r w:rsidRPr="009A4BB3">
        <w:t>Freedom of Information</w:t>
      </w:r>
      <w:bookmarkEnd w:id="12"/>
    </w:p>
    <w:p w14:paraId="4B9E921E" w14:textId="77777777" w:rsidR="004E782E" w:rsidRPr="009A4BB3" w:rsidRDefault="004E782E" w:rsidP="00E22DF9">
      <w:pPr>
        <w:pStyle w:val="Heading2"/>
        <w:spacing w:line="240" w:lineRule="auto"/>
      </w:pPr>
      <w:bookmarkStart w:id="13" w:name="_Ref486324558"/>
      <w:r w:rsidRPr="009A4BB3">
        <w:t xml:space="preserve">The parties acknowledge that they are both subject to the provisions of the Freedom of Information Act 2000 and the Environmental Information Regulations 2004. The parties shall co-operate in relation to any requests for information received under the aforementioned legislation, which may relate to this </w:t>
      </w:r>
      <w:r w:rsidR="00FA4686">
        <w:t>Agreement</w:t>
      </w:r>
      <w:r w:rsidRPr="009A4BB3">
        <w:t>, the Framework Agreement and any Call-off Contract.</w:t>
      </w:r>
      <w:bookmarkEnd w:id="13"/>
    </w:p>
    <w:p w14:paraId="1D5855B4" w14:textId="77777777" w:rsidR="00E636FF" w:rsidRDefault="009A4BB3" w:rsidP="00E22DF9">
      <w:pPr>
        <w:pStyle w:val="Heading1"/>
        <w:spacing w:line="240" w:lineRule="auto"/>
      </w:pPr>
      <w:bookmarkStart w:id="14" w:name="_Toc486337709"/>
      <w:r>
        <w:lastRenderedPageBreak/>
        <w:t>No partnership or agency</w:t>
      </w:r>
      <w:bookmarkEnd w:id="14"/>
    </w:p>
    <w:p w14:paraId="60DC94D5" w14:textId="77777777" w:rsidR="009A4BB3" w:rsidRDefault="00E636FF" w:rsidP="00E22DF9">
      <w:pPr>
        <w:pStyle w:val="Heading2"/>
        <w:numPr>
          <w:ilvl w:val="0"/>
          <w:numId w:val="0"/>
        </w:numPr>
        <w:spacing w:line="240" w:lineRule="auto"/>
        <w:ind w:left="720"/>
      </w:pPr>
      <w:r w:rsidRPr="00E636FF">
        <w:t xml:space="preserve">Nothing in this </w:t>
      </w:r>
      <w:r w:rsidR="00FA4686">
        <w:t>Agreement</w:t>
      </w:r>
      <w:r w:rsidRPr="00E636FF">
        <w:t xml:space="preserve"> is intended to, or shall be deemed to, establish any partnership or joint venture between any of the parties, constitute any party the agent of another party, or authorise any party to make or enter into any commitments for or on behalf of any other party.  </w:t>
      </w:r>
    </w:p>
    <w:p w14:paraId="0946A34C" w14:textId="77777777" w:rsidR="004206A3" w:rsidRDefault="004206A3" w:rsidP="00E22DF9">
      <w:pPr>
        <w:pStyle w:val="Heading1"/>
        <w:spacing w:line="240" w:lineRule="auto"/>
      </w:pPr>
      <w:bookmarkStart w:id="15" w:name="_Toc486337710"/>
      <w:r>
        <w:t>Severance</w:t>
      </w:r>
      <w:bookmarkEnd w:id="15"/>
    </w:p>
    <w:p w14:paraId="75F34E02" w14:textId="77777777" w:rsidR="004206A3" w:rsidRPr="00E66D7D" w:rsidRDefault="004206A3" w:rsidP="00E22DF9">
      <w:pPr>
        <w:pStyle w:val="Heading2"/>
        <w:numPr>
          <w:ilvl w:val="0"/>
          <w:numId w:val="0"/>
        </w:numPr>
        <w:spacing w:line="240" w:lineRule="auto"/>
        <w:ind w:left="720"/>
      </w:pPr>
      <w:r w:rsidRPr="00E66D7D">
        <w:t xml:space="preserve">If any provision or part-provision of this </w:t>
      </w:r>
      <w:r w:rsidR="00FA4686">
        <w:t>Agreement</w:t>
      </w:r>
      <w:r w:rsidRPr="00E66D7D">
        <w:t xml:space="preserve">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this </w:t>
      </w:r>
      <w:r w:rsidR="00FA4686">
        <w:t>Agreement</w:t>
      </w:r>
      <w:r w:rsidRPr="00E66D7D">
        <w:t xml:space="preserve">.  </w:t>
      </w:r>
    </w:p>
    <w:p w14:paraId="120493CC" w14:textId="77777777" w:rsidR="004E782E" w:rsidRDefault="009A4BB3" w:rsidP="00E22DF9">
      <w:pPr>
        <w:pStyle w:val="Heading1"/>
        <w:spacing w:line="240" w:lineRule="auto"/>
      </w:pPr>
      <w:bookmarkStart w:id="16" w:name="_Toc486337712"/>
      <w:r>
        <w:t>Governing law and jurisdiction</w:t>
      </w:r>
      <w:bookmarkEnd w:id="16"/>
    </w:p>
    <w:p w14:paraId="54A6B055" w14:textId="77777777" w:rsidR="004E782E" w:rsidRDefault="009A4BB3" w:rsidP="00E22DF9">
      <w:pPr>
        <w:pStyle w:val="Heading2"/>
        <w:numPr>
          <w:ilvl w:val="0"/>
          <w:numId w:val="0"/>
        </w:numPr>
        <w:spacing w:line="240" w:lineRule="auto"/>
        <w:ind w:left="720"/>
      </w:pPr>
      <w:r w:rsidRPr="009A4BB3">
        <w:t xml:space="preserve">This </w:t>
      </w:r>
      <w:r w:rsidR="00FA4686">
        <w:t>Agreement</w:t>
      </w:r>
      <w:r w:rsidRPr="009A4BB3">
        <w:t xml:space="preserve"> shall be governed by and construed in all respects in accordance with the laws of England and Wales and the English courts shall have exclusive jurisdiction to settle any disputes which may arise out of or in connection with</w:t>
      </w:r>
      <w:r>
        <w:t xml:space="preserve"> it.</w:t>
      </w:r>
    </w:p>
    <w:sectPr w:rsidR="004E782E" w:rsidSect="00721D50">
      <w:footerReference w:type="default" r:id="rId9"/>
      <w:pgSz w:w="11907" w:h="16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42A78" w14:textId="77777777" w:rsidR="00087A6A" w:rsidRDefault="00087A6A">
      <w:r>
        <w:separator/>
      </w:r>
    </w:p>
  </w:endnote>
  <w:endnote w:type="continuationSeparator" w:id="0">
    <w:p w14:paraId="2AD257CB" w14:textId="77777777" w:rsidR="00087A6A" w:rsidRDefault="00087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99B0" w14:textId="77777777" w:rsidR="00D70258" w:rsidRDefault="00D70258">
    <w:pPr>
      <w:pStyle w:val="Footer"/>
      <w:jc w:val="center"/>
    </w:pPr>
    <w:r>
      <w:fldChar w:fldCharType="begin"/>
    </w:r>
    <w:r>
      <w:instrText xml:space="preserve"> PAGE \* MERGEFORMAT </w:instrText>
    </w:r>
    <w:r>
      <w:fldChar w:fldCharType="separate"/>
    </w:r>
    <w:r w:rsidR="00DE440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CA7C3" w14:textId="77777777" w:rsidR="00087A6A" w:rsidRDefault="00087A6A">
      <w:r>
        <w:separator/>
      </w:r>
    </w:p>
  </w:footnote>
  <w:footnote w:type="continuationSeparator" w:id="0">
    <w:p w14:paraId="116EB007" w14:textId="77777777" w:rsidR="00087A6A" w:rsidRDefault="00087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7046"/>
    <w:multiLevelType w:val="multilevel"/>
    <w:tmpl w:val="0F164240"/>
    <w:lvl w:ilvl="0">
      <w:start w:val="1"/>
      <w:numFmt w:val="bullet"/>
      <w:lvlText w:val=""/>
      <w:lvlJc w:val="left"/>
      <w:pPr>
        <w:tabs>
          <w:tab w:val="num" w:pos="3385"/>
        </w:tabs>
        <w:ind w:left="338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9"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8EC01AA"/>
    <w:multiLevelType w:val="multilevel"/>
    <w:tmpl w:val="1DFCA3C0"/>
    <w:lvl w:ilvl="0">
      <w:start w:val="1"/>
      <w:numFmt w:val="bullet"/>
      <w:lvlText w:val=""/>
      <w:lvlJc w:val="left"/>
      <w:pPr>
        <w:tabs>
          <w:tab w:val="num" w:pos="2302"/>
        </w:tabs>
        <w:ind w:left="2302"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84298B"/>
    <w:multiLevelType w:val="multilevel"/>
    <w:tmpl w:val="8BCC9C08"/>
    <w:lvl w:ilvl="0">
      <w:start w:val="1"/>
      <w:numFmt w:val="bullet"/>
      <w:lvlText w:val=""/>
      <w:lvlJc w:val="left"/>
      <w:pPr>
        <w:tabs>
          <w:tab w:val="num" w:pos="1945"/>
        </w:tabs>
        <w:ind w:left="194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B35648"/>
    <w:multiLevelType w:val="multilevel"/>
    <w:tmpl w:val="5C64FE2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B06D45"/>
    <w:multiLevelType w:val="multilevel"/>
    <w:tmpl w:val="A0FA0BD4"/>
    <w:lvl w:ilvl="0">
      <w:start w:val="1"/>
      <w:numFmt w:val="bullet"/>
      <w:lvlText w:val=""/>
      <w:lvlJc w:val="left"/>
      <w:pPr>
        <w:tabs>
          <w:tab w:val="num" w:pos="1077"/>
        </w:tabs>
        <w:ind w:left="107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3141B1"/>
    <w:multiLevelType w:val="hybridMultilevel"/>
    <w:tmpl w:val="AD6C744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46963AF8"/>
    <w:multiLevelType w:val="multilevel"/>
    <w:tmpl w:val="594C4DAE"/>
    <w:lvl w:ilvl="0">
      <w:start w:val="1"/>
      <w:numFmt w:val="bullet"/>
      <w:lvlText w:val=""/>
      <w:lvlJc w:val="left"/>
      <w:pPr>
        <w:tabs>
          <w:tab w:val="num" w:pos="2676"/>
        </w:tabs>
        <w:ind w:left="2676"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7"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8"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966731"/>
    <w:multiLevelType w:val="multilevel"/>
    <w:tmpl w:val="13C6FFE0"/>
    <w:lvl w:ilvl="0">
      <w:start w:val="1"/>
      <w:numFmt w:val="upperLetter"/>
      <w:pStyle w:val="ABackground"/>
      <w:lvlText w:val="(%1)"/>
      <w:lvlJc w:val="left"/>
      <w:pPr>
        <w:tabs>
          <w:tab w:val="num" w:pos="720"/>
        </w:tabs>
        <w:ind w:left="720" w:hanging="720"/>
      </w:pPr>
      <w:rPr>
        <w:rFonts w:ascii="Arial" w:hAnsi="Arial" w:cs="Arial"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1"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7D61255"/>
    <w:multiLevelType w:val="multilevel"/>
    <w:tmpl w:val="8C2E232C"/>
    <w:lvl w:ilvl="0">
      <w:start w:val="1"/>
      <w:numFmt w:val="decimal"/>
      <w:pStyle w:val="Heading1"/>
      <w:lvlText w:val="%1."/>
      <w:lvlJc w:val="left"/>
      <w:pPr>
        <w:tabs>
          <w:tab w:val="num" w:pos="720"/>
        </w:tabs>
        <w:ind w:left="720" w:hanging="720"/>
      </w:pPr>
      <w:rPr>
        <w:rFonts w:ascii="Arial" w:hAnsi="Arial" w:cs="Arial" w:hint="default"/>
        <w:b/>
        <w:i w:val="0"/>
        <w:caps/>
        <w:sz w:val="20"/>
      </w:rPr>
    </w:lvl>
    <w:lvl w:ilvl="1">
      <w:start w:val="1"/>
      <w:numFmt w:val="decimal"/>
      <w:pStyle w:val="Heading2"/>
      <w:lvlText w:val="%1.%2"/>
      <w:lvlJc w:val="left"/>
      <w:pPr>
        <w:tabs>
          <w:tab w:val="num" w:pos="720"/>
        </w:tabs>
        <w:ind w:left="720" w:hanging="720"/>
      </w:pPr>
      <w:rPr>
        <w:rFonts w:ascii="Arial" w:hAnsi="Arial" w:cs="Arial" w:hint="default"/>
        <w:b w:val="0"/>
        <w:i w:val="0"/>
        <w:caps w:val="0"/>
        <w:sz w:val="20"/>
      </w:rPr>
    </w:lvl>
    <w:lvl w:ilvl="2">
      <w:start w:val="1"/>
      <w:numFmt w:val="lowerLetter"/>
      <w:pStyle w:val="Heading3"/>
      <w:lvlText w:val="(%3)"/>
      <w:lvlJc w:val="left"/>
      <w:pPr>
        <w:tabs>
          <w:tab w:val="num" w:pos="1559"/>
        </w:tabs>
        <w:ind w:left="1559" w:hanging="567"/>
      </w:pPr>
      <w:rPr>
        <w:rFonts w:ascii="Arial" w:hAnsi="Arial" w:cs="Arial" w:hint="default"/>
        <w:b w:val="0"/>
        <w:i w:val="0"/>
        <w:sz w:val="20"/>
      </w:rPr>
    </w:lvl>
    <w:lvl w:ilvl="3">
      <w:start w:val="1"/>
      <w:numFmt w:val="lowerRoman"/>
      <w:pStyle w:val="Heading4"/>
      <w:lvlText w:val="(%4)"/>
      <w:lvlJc w:val="left"/>
      <w:pPr>
        <w:tabs>
          <w:tab w:val="num" w:pos="2421"/>
        </w:tabs>
        <w:ind w:left="2268" w:hanging="567"/>
      </w:pPr>
      <w:rPr>
        <w:rFonts w:ascii="Arial" w:hAnsi="Arial" w:cs="Arial"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4"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91712671">
    <w:abstractNumId w:val="3"/>
  </w:num>
  <w:num w:numId="2" w16cid:durableId="1762144939">
    <w:abstractNumId w:val="22"/>
  </w:num>
  <w:num w:numId="3" w16cid:durableId="1966963074">
    <w:abstractNumId w:val="20"/>
  </w:num>
  <w:num w:numId="4" w16cid:durableId="399063532">
    <w:abstractNumId w:val="23"/>
  </w:num>
  <w:num w:numId="5" w16cid:durableId="470827097">
    <w:abstractNumId w:val="16"/>
  </w:num>
  <w:num w:numId="6" w16cid:durableId="6249334">
    <w:abstractNumId w:val="8"/>
  </w:num>
  <w:num w:numId="7" w16cid:durableId="1713190754">
    <w:abstractNumId w:val="21"/>
  </w:num>
  <w:num w:numId="8" w16cid:durableId="1585411951">
    <w:abstractNumId w:val="2"/>
  </w:num>
  <w:num w:numId="9" w16cid:durableId="1416123514">
    <w:abstractNumId w:val="18"/>
  </w:num>
  <w:num w:numId="10" w16cid:durableId="1390299730">
    <w:abstractNumId w:val="5"/>
  </w:num>
  <w:num w:numId="11" w16cid:durableId="190841044">
    <w:abstractNumId w:val="17"/>
  </w:num>
  <w:num w:numId="12" w16cid:durableId="445466921">
    <w:abstractNumId w:val="4"/>
  </w:num>
  <w:num w:numId="13" w16cid:durableId="292365146">
    <w:abstractNumId w:val="9"/>
  </w:num>
  <w:num w:numId="14" w16cid:durableId="1557936892">
    <w:abstractNumId w:val="6"/>
  </w:num>
  <w:num w:numId="15" w16cid:durableId="52045362">
    <w:abstractNumId w:val="24"/>
  </w:num>
  <w:num w:numId="16" w16cid:durableId="91173214">
    <w:abstractNumId w:val="7"/>
  </w:num>
  <w:num w:numId="17" w16cid:durableId="197549626">
    <w:abstractNumId w:val="10"/>
  </w:num>
  <w:num w:numId="18" w16cid:durableId="1378630325">
    <w:abstractNumId w:val="1"/>
  </w:num>
  <w:num w:numId="19" w16cid:durableId="610480395">
    <w:abstractNumId w:val="21"/>
  </w:num>
  <w:num w:numId="20" w16cid:durableId="681976367">
    <w:abstractNumId w:val="19"/>
  </w:num>
  <w:num w:numId="21" w16cid:durableId="549195527">
    <w:abstractNumId w:val="12"/>
  </w:num>
  <w:num w:numId="22" w16cid:durableId="446391740">
    <w:abstractNumId w:val="13"/>
  </w:num>
  <w:num w:numId="23" w16cid:durableId="997735712">
    <w:abstractNumId w:val="11"/>
  </w:num>
  <w:num w:numId="24" w16cid:durableId="605160718">
    <w:abstractNumId w:val="15"/>
  </w:num>
  <w:num w:numId="25" w16cid:durableId="358705776">
    <w:abstractNumId w:val="0"/>
  </w:num>
  <w:num w:numId="26" w16cid:durableId="2113276024">
    <w:abstractNumId w:val="16"/>
    <w:lvlOverride w:ilvl="0">
      <w:startOverride w:val="1"/>
    </w:lvlOverride>
  </w:num>
  <w:num w:numId="27" w16cid:durableId="948856334">
    <w:abstractNumId w:val="16"/>
    <w:lvlOverride w:ilvl="0">
      <w:startOverride w:val="1"/>
    </w:lvlOverride>
  </w:num>
  <w:num w:numId="28" w16cid:durableId="771705225">
    <w:abstractNumId w:val="16"/>
    <w:lvlOverride w:ilvl="0">
      <w:startOverride w:val="1"/>
    </w:lvlOverride>
  </w:num>
  <w:num w:numId="29" w16cid:durableId="1040210051">
    <w:abstractNumId w:val="16"/>
    <w:lvlOverride w:ilvl="0">
      <w:startOverride w:val="1"/>
    </w:lvlOverride>
  </w:num>
  <w:num w:numId="30" w16cid:durableId="1414543641">
    <w:abstractNumId w:val="16"/>
    <w:lvlOverride w:ilvl="0">
      <w:startOverride w:val="1"/>
    </w:lvlOverride>
  </w:num>
  <w:num w:numId="31" w16cid:durableId="920872520">
    <w:abstractNumId w:val="16"/>
    <w:lvlOverride w:ilvl="0">
      <w:startOverride w:val="1"/>
    </w:lvlOverride>
  </w:num>
  <w:num w:numId="32" w16cid:durableId="1861580524">
    <w:abstractNumId w:val="16"/>
    <w:lvlOverride w:ilvl="0">
      <w:startOverride w:val="1"/>
    </w:lvlOverride>
  </w:num>
  <w:num w:numId="33" w16cid:durableId="354889093">
    <w:abstractNumId w:val="23"/>
    <w:lvlOverride w:ilvl="0">
      <w:startOverride w:val="1"/>
    </w:lvlOverride>
    <w:lvlOverride w:ilvl="1">
      <w:startOverride w:val="1"/>
    </w:lvlOverride>
    <w:lvlOverride w:ilvl="2">
      <w:startOverride w:val="1"/>
    </w:lvlOverride>
  </w:num>
  <w:num w:numId="34" w16cid:durableId="431895982">
    <w:abstractNumId w:val="23"/>
    <w:lvlOverride w:ilvl="0">
      <w:startOverride w:val="1"/>
    </w:lvlOverride>
    <w:lvlOverride w:ilvl="1">
      <w:startOverride w:val="1"/>
    </w:lvlOverride>
    <w:lvlOverride w:ilvl="2">
      <w:startOverride w:val="1"/>
    </w:lvlOverride>
  </w:num>
  <w:num w:numId="35" w16cid:durableId="372000033">
    <w:abstractNumId w:val="23"/>
    <w:lvlOverride w:ilvl="0">
      <w:startOverride w:val="1"/>
    </w:lvlOverride>
    <w:lvlOverride w:ilvl="1">
      <w:startOverride w:val="1"/>
    </w:lvlOverride>
    <w:lvlOverride w:ilvl="2">
      <w:startOverride w:val="1"/>
    </w:lvlOverride>
  </w:num>
  <w:num w:numId="36" w16cid:durableId="43408039">
    <w:abstractNumId w:val="23"/>
    <w:lvlOverride w:ilvl="0">
      <w:startOverride w:val="1"/>
    </w:lvlOverride>
    <w:lvlOverride w:ilvl="1">
      <w:startOverride w:val="1"/>
    </w:lvlOverride>
    <w:lvlOverride w:ilvl="2">
      <w:startOverride w:val="1"/>
    </w:lvlOverride>
  </w:num>
  <w:num w:numId="37" w16cid:durableId="1611621542">
    <w:abstractNumId w:val="23"/>
    <w:lvlOverride w:ilvl="0">
      <w:startOverride w:val="1"/>
    </w:lvlOverride>
    <w:lvlOverride w:ilvl="1">
      <w:startOverride w:val="1"/>
    </w:lvlOverride>
    <w:lvlOverride w:ilvl="2">
      <w:startOverride w:val="1"/>
    </w:lvlOverride>
  </w:num>
  <w:num w:numId="38" w16cid:durableId="279652018">
    <w:abstractNumId w:val="23"/>
    <w:lvlOverride w:ilvl="0">
      <w:startOverride w:val="1"/>
    </w:lvlOverride>
    <w:lvlOverride w:ilvl="1">
      <w:startOverride w:val="1"/>
    </w:lvlOverride>
    <w:lvlOverride w:ilvl="2">
      <w:startOverride w:val="1"/>
    </w:lvlOverride>
  </w:num>
  <w:num w:numId="39" w16cid:durableId="849101494">
    <w:abstractNumId w:val="23"/>
    <w:lvlOverride w:ilvl="0">
      <w:startOverride w:val="1"/>
    </w:lvlOverride>
    <w:lvlOverride w:ilvl="1">
      <w:startOverride w:val="1"/>
    </w:lvlOverride>
    <w:lvlOverride w:ilvl="2">
      <w:startOverride w:val="1"/>
    </w:lvlOverride>
  </w:num>
  <w:num w:numId="40" w16cid:durableId="1864400711">
    <w:abstractNumId w:val="23"/>
    <w:lvlOverride w:ilvl="0">
      <w:startOverride w:val="1"/>
    </w:lvlOverride>
    <w:lvlOverride w:ilvl="1">
      <w:startOverride w:val="1"/>
    </w:lvlOverride>
    <w:lvlOverride w:ilvl="2">
      <w:startOverride w:val="1"/>
    </w:lvlOverride>
  </w:num>
  <w:num w:numId="41" w16cid:durableId="1002270605">
    <w:abstractNumId w:val="23"/>
    <w:lvlOverride w:ilvl="0">
      <w:startOverride w:val="1"/>
    </w:lvlOverride>
    <w:lvlOverride w:ilvl="1">
      <w:startOverride w:val="1"/>
    </w:lvlOverride>
    <w:lvlOverride w:ilvl="2">
      <w:startOverride w:val="1"/>
    </w:lvlOverride>
  </w:num>
  <w:num w:numId="42" w16cid:durableId="1742947390">
    <w:abstractNumId w:val="23"/>
    <w:lvlOverride w:ilvl="0">
      <w:startOverride w:val="1"/>
    </w:lvlOverride>
    <w:lvlOverride w:ilvl="1">
      <w:startOverride w:val="1"/>
    </w:lvlOverride>
    <w:lvlOverride w:ilvl="2">
      <w:startOverride w:val="1"/>
    </w:lvlOverride>
  </w:num>
  <w:num w:numId="43" w16cid:durableId="545214149">
    <w:abstractNumId w:val="16"/>
    <w:lvlOverride w:ilvl="0">
      <w:startOverride w:val="1"/>
    </w:lvlOverride>
    <w:lvlOverride w:ilvl="1">
      <w:startOverride w:val="1"/>
    </w:lvlOverride>
    <w:lvlOverride w:ilvl="2">
      <w:startOverride w:val="1"/>
    </w:lvlOverride>
  </w:num>
  <w:num w:numId="44" w16cid:durableId="1087648807">
    <w:abstractNumId w:val="16"/>
    <w:lvlOverride w:ilvl="0">
      <w:startOverride w:val="1"/>
    </w:lvlOverride>
    <w:lvlOverride w:ilvl="1">
      <w:startOverride w:val="1"/>
    </w:lvlOverride>
    <w:lvlOverride w:ilvl="2">
      <w:startOverride w:val="1"/>
    </w:lvlOverride>
  </w:num>
  <w:num w:numId="45" w16cid:durableId="1711228731">
    <w:abstractNumId w:val="16"/>
    <w:lvlOverride w:ilvl="0">
      <w:startOverride w:val="1"/>
    </w:lvlOverride>
    <w:lvlOverride w:ilvl="1">
      <w:startOverride w:val="1"/>
    </w:lvlOverride>
    <w:lvlOverride w:ilvl="2">
      <w:startOverride w:val="1"/>
    </w:lvlOverride>
  </w:num>
  <w:num w:numId="46" w16cid:durableId="451562316">
    <w:abstractNumId w:val="16"/>
    <w:lvlOverride w:ilvl="0">
      <w:startOverride w:val="1"/>
    </w:lvlOverride>
  </w:num>
  <w:num w:numId="47" w16cid:durableId="1848786201">
    <w:abstractNumId w:val="3"/>
    <w:lvlOverride w:ilvl="0">
      <w:startOverride w:val="1"/>
    </w:lvlOverride>
  </w:num>
  <w:num w:numId="48" w16cid:durableId="1309172053">
    <w:abstractNumId w:val="2"/>
    <w:lvlOverride w:ilvl="0">
      <w:startOverride w:val="1"/>
    </w:lvlOverride>
  </w:num>
  <w:num w:numId="49" w16cid:durableId="18101247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57"/>
  <w:doNotHyphenateCaps/>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DFD"/>
    <w:rsid w:val="00080B99"/>
    <w:rsid w:val="00087A6A"/>
    <w:rsid w:val="000B227C"/>
    <w:rsid w:val="000D79A1"/>
    <w:rsid w:val="001316FB"/>
    <w:rsid w:val="00136FF8"/>
    <w:rsid w:val="00151218"/>
    <w:rsid w:val="001749A7"/>
    <w:rsid w:val="0029046E"/>
    <w:rsid w:val="002E248C"/>
    <w:rsid w:val="002E35BA"/>
    <w:rsid w:val="00316ED7"/>
    <w:rsid w:val="00341D47"/>
    <w:rsid w:val="003B53DD"/>
    <w:rsid w:val="003F1F93"/>
    <w:rsid w:val="00401E90"/>
    <w:rsid w:val="004206A3"/>
    <w:rsid w:val="00420A0C"/>
    <w:rsid w:val="004E782E"/>
    <w:rsid w:val="005039DD"/>
    <w:rsid w:val="00525066"/>
    <w:rsid w:val="006242C4"/>
    <w:rsid w:val="00710D52"/>
    <w:rsid w:val="00721D50"/>
    <w:rsid w:val="007A5183"/>
    <w:rsid w:val="007A5B42"/>
    <w:rsid w:val="007E41E3"/>
    <w:rsid w:val="00854B57"/>
    <w:rsid w:val="008844E9"/>
    <w:rsid w:val="008C27ED"/>
    <w:rsid w:val="008C3592"/>
    <w:rsid w:val="00946E7E"/>
    <w:rsid w:val="00953A27"/>
    <w:rsid w:val="009A4BB3"/>
    <w:rsid w:val="009C2DFD"/>
    <w:rsid w:val="009E1DC2"/>
    <w:rsid w:val="00A2124D"/>
    <w:rsid w:val="00A37E29"/>
    <w:rsid w:val="00A475DB"/>
    <w:rsid w:val="00A7499C"/>
    <w:rsid w:val="00A90A6A"/>
    <w:rsid w:val="00B2714A"/>
    <w:rsid w:val="00B611A6"/>
    <w:rsid w:val="00B9551F"/>
    <w:rsid w:val="00C73435"/>
    <w:rsid w:val="00C762E3"/>
    <w:rsid w:val="00CD5126"/>
    <w:rsid w:val="00D70258"/>
    <w:rsid w:val="00DE440B"/>
    <w:rsid w:val="00DF2302"/>
    <w:rsid w:val="00E22DF9"/>
    <w:rsid w:val="00E4187D"/>
    <w:rsid w:val="00E4633D"/>
    <w:rsid w:val="00E636FF"/>
    <w:rsid w:val="00E753E0"/>
    <w:rsid w:val="00F40438"/>
    <w:rsid w:val="00F60536"/>
    <w:rsid w:val="00F9385B"/>
    <w:rsid w:val="00FA4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81841"/>
  <w15:chartTrackingRefBased/>
  <w15:docId w15:val="{4529E0DA-F070-4D4B-ABB2-CA31C2F2A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3A27"/>
    <w:pPr>
      <w:spacing w:line="300" w:lineRule="atLeast"/>
      <w:jc w:val="both"/>
    </w:pPr>
    <w:rPr>
      <w:rFonts w:ascii="Arial" w:hAnsi="Arial"/>
      <w:sz w:val="22"/>
      <w:lang w:eastAsia="en-US"/>
    </w:rPr>
  </w:style>
  <w:style w:type="paragraph" w:styleId="Heading1">
    <w:name w:val="heading 1"/>
    <w:basedOn w:val="Normal"/>
    <w:qFormat/>
    <w:rsid w:val="00BB3774"/>
    <w:pPr>
      <w:keepNext/>
      <w:numPr>
        <w:numId w:val="4"/>
      </w:numPr>
      <w:spacing w:before="320"/>
      <w:outlineLvl w:val="0"/>
    </w:pPr>
    <w:rPr>
      <w:b/>
      <w:smallCaps/>
      <w:kern w:val="28"/>
    </w:rPr>
  </w:style>
  <w:style w:type="paragraph" w:styleId="Heading2">
    <w:name w:val="heading 2"/>
    <w:basedOn w:val="Normal"/>
    <w:qFormat/>
    <w:rsid w:val="00BB3774"/>
    <w:pPr>
      <w:numPr>
        <w:ilvl w:val="1"/>
        <w:numId w:val="4"/>
      </w:numPr>
      <w:spacing w:before="280" w:after="120"/>
      <w:outlineLvl w:val="1"/>
    </w:pPr>
    <w:rPr>
      <w:color w:val="000000"/>
    </w:rPr>
  </w:style>
  <w:style w:type="paragraph" w:styleId="Heading3">
    <w:name w:val="heading 3"/>
    <w:basedOn w:val="Normal"/>
    <w:qFormat/>
    <w:rsid w:val="00BB3774"/>
    <w:pPr>
      <w:numPr>
        <w:ilvl w:val="2"/>
        <w:numId w:val="4"/>
      </w:numPr>
      <w:spacing w:after="120"/>
      <w:outlineLvl w:val="2"/>
    </w:pPr>
  </w:style>
  <w:style w:type="paragraph" w:styleId="Heading4">
    <w:name w:val="heading 4"/>
    <w:basedOn w:val="Normal"/>
    <w:qFormat/>
    <w:rsid w:val="00BB3774"/>
    <w:pPr>
      <w:numPr>
        <w:ilvl w:val="3"/>
        <w:numId w:val="4"/>
      </w:numPr>
      <w:tabs>
        <w:tab w:val="left" w:pos="2261"/>
      </w:tabs>
      <w:spacing w:after="120"/>
      <w:outlineLvl w:val="3"/>
    </w:p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after="80"/>
      <w:jc w:val="left"/>
      <w:outlineLvl w:val="5"/>
    </w:pPr>
    <w:rPr>
      <w:b/>
      <w:sz w:val="20"/>
    </w:rPr>
  </w:style>
  <w:style w:type="paragraph" w:styleId="Heading7">
    <w:name w:val="heading 7"/>
    <w:basedOn w:val="Normal"/>
    <w:next w:val="Normal"/>
    <w:qFormat/>
    <w:rsid w:val="00BB3774"/>
    <w:pPr>
      <w:keepNext/>
      <w:jc w:val="left"/>
      <w:outlineLvl w:val="6"/>
    </w:pPr>
    <w:rPr>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after="120"/>
      <w:jc w:val="left"/>
      <w:outlineLvl w:val="7"/>
    </w:pPr>
    <w:rPr>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rsid w:val="00BB3774"/>
    <w:pPr>
      <w:tabs>
        <w:tab w:val="center" w:pos="4153"/>
        <w:tab w:val="right" w:pos="8306"/>
      </w:tabs>
      <w:spacing w:after="240"/>
    </w:pPr>
  </w:style>
  <w:style w:type="paragraph" w:styleId="Header">
    <w:name w:val="header"/>
    <w:basedOn w:val="Normal"/>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BB3774"/>
    <w:pPr>
      <w:keepNext/>
      <w:numPr>
        <w:numId w:val="8"/>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numPr>
        <w:numId w:val="5"/>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uiPriority w:val="39"/>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uiPriority w:val="39"/>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uiPriority w:val="39"/>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1"/>
      </w:numPr>
      <w:spacing w:before="360" w:after="360"/>
    </w:pPr>
    <w:rPr>
      <w:b/>
    </w:rPr>
  </w:style>
  <w:style w:type="paragraph" w:customStyle="1" w:styleId="Schmainheadsingle">
    <w:name w:val="Sch main head single"/>
    <w:basedOn w:val="Normal"/>
    <w:next w:val="Normal"/>
    <w:rsid w:val="00BB3774"/>
    <w:pPr>
      <w:pageBreakBefore/>
      <w:numPr>
        <w:numId w:val="9"/>
      </w:numPr>
      <w:spacing w:before="240" w:after="360"/>
      <w:jc w:val="center"/>
    </w:pPr>
    <w:rPr>
      <w:b/>
      <w:kern w:val="28"/>
    </w:rPr>
  </w:style>
  <w:style w:type="paragraph" w:customStyle="1" w:styleId="Schmainheadincsingle">
    <w:name w:val="Sch   main head inc single"/>
    <w:basedOn w:val="Normal"/>
    <w:next w:val="Normal"/>
    <w:rsid w:val="00BB3774"/>
    <w:pPr>
      <w:numPr>
        <w:numId w:val="10"/>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2"/>
      </w:numPr>
      <w:spacing w:before="240" w:after="360"/>
      <w:jc w:val="center"/>
    </w:pPr>
    <w:rPr>
      <w:b/>
    </w:rPr>
  </w:style>
  <w:style w:type="paragraph" w:customStyle="1" w:styleId="Appmainhead">
    <w:name w:val="App   main head"/>
    <w:basedOn w:val="Normal"/>
    <w:next w:val="Normal"/>
    <w:rsid w:val="00BB3774"/>
    <w:pPr>
      <w:pageBreakBefore/>
      <w:numPr>
        <w:numId w:val="13"/>
      </w:numPr>
      <w:spacing w:before="240" w:after="360"/>
      <w:jc w:val="center"/>
    </w:pPr>
    <w:rPr>
      <w:b/>
    </w:rPr>
  </w:style>
  <w:style w:type="paragraph" w:styleId="CommentText">
    <w:name w:val="annotation text"/>
    <w:basedOn w:val="Normal"/>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20"/>
      </w:numPr>
      <w:spacing w:after="240"/>
    </w:pPr>
  </w:style>
  <w:style w:type="paragraph" w:customStyle="1" w:styleId="Bullet2">
    <w:name w:val="Bullet2"/>
    <w:basedOn w:val="Normal"/>
    <w:rsid w:val="00FF416C"/>
    <w:pPr>
      <w:numPr>
        <w:numId w:val="14"/>
      </w:numPr>
      <w:spacing w:after="240" w:line="240" w:lineRule="auto"/>
    </w:pPr>
  </w:style>
  <w:style w:type="paragraph" w:customStyle="1" w:styleId="Bullet3">
    <w:name w:val="Bullet3"/>
    <w:basedOn w:val="Normal"/>
    <w:rsid w:val="00FF416C"/>
    <w:pPr>
      <w:numPr>
        <w:numId w:val="15"/>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6"/>
      </w:numPr>
      <w:spacing w:after="240" w:line="240" w:lineRule="auto"/>
    </w:pPr>
  </w:style>
  <w:style w:type="paragraph" w:customStyle="1" w:styleId="Bullet5">
    <w:name w:val="Bullet5"/>
    <w:basedOn w:val="Normal"/>
    <w:rsid w:val="00FF416C"/>
    <w:pPr>
      <w:numPr>
        <w:numId w:val="18"/>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9"/>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table" w:styleId="TableGrid">
    <w:name w:val="Table Grid"/>
    <w:basedOn w:val="TableNormal"/>
    <w:rsid w:val="00A90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1749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ercialProcurement@liverpool.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20F70-4EE9-4299-8D2B-D49997F82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1733</Words>
  <Characters>9882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Framework agreement (public sector services)</vt:lpstr>
    </vt:vector>
  </TitlesOfParts>
  <Company>Practical Law Company Ltd</Company>
  <LinksUpToDate>false</LinksUpToDate>
  <CharactersWithSpaces>11592</CharactersWithSpaces>
  <SharedDoc>false</SharedDoc>
  <HLinks>
    <vt:vector size="6" baseType="variant">
      <vt:variant>
        <vt:i4>1704035</vt:i4>
      </vt:variant>
      <vt:variant>
        <vt:i4>0</vt:i4>
      </vt:variant>
      <vt:variant>
        <vt:i4>0</vt:i4>
      </vt:variant>
      <vt:variant>
        <vt:i4>5</vt:i4>
      </vt:variant>
      <vt:variant>
        <vt:lpwstr>mailto:CommercialProcurement@liverpool.gov.uk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Framework agreement (public sector services)</dc:title>
  <dc:subject/>
  <dc:creator>Practical Law Company</dc:creator>
  <cp:keywords/>
  <dc:description/>
  <cp:lastModifiedBy>Matthew Ellis</cp:lastModifiedBy>
  <cp:revision>2</cp:revision>
  <dcterms:created xsi:type="dcterms:W3CDTF">2022-10-26T13:58:00Z</dcterms:created>
  <dcterms:modified xsi:type="dcterms:W3CDTF">2022-10-26T13:58:00Z</dcterms:modified>
</cp:coreProperties>
</file>