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206F1" w14:textId="77777777" w:rsidR="00A85323" w:rsidRDefault="008F46FC">
      <w:pPr>
        <w:pStyle w:val="BodyText"/>
        <w:ind w:left="104"/>
        <w:rPr>
          <w:rFonts w:ascii="Times New Roman"/>
          <w:sz w:val="20"/>
        </w:rPr>
      </w:pPr>
      <w:r>
        <w:rPr>
          <w:rFonts w:ascii="Times New Roman"/>
          <w:noProof/>
          <w:sz w:val="20"/>
          <w:lang w:val="en-US" w:eastAsia="en-US" w:bidi="ar-SA"/>
        </w:rPr>
        <w:drawing>
          <wp:inline distT="0" distB="0" distL="0" distR="0" wp14:anchorId="7EE00A36" wp14:editId="5A730F84">
            <wp:extent cx="4586073" cy="5492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07714" cy="599788"/>
                    </a:xfrm>
                    <a:prstGeom prst="rect">
                      <a:avLst/>
                    </a:prstGeom>
                  </pic:spPr>
                </pic:pic>
              </a:graphicData>
            </a:graphic>
          </wp:inline>
        </w:drawing>
      </w:r>
    </w:p>
    <w:p w14:paraId="3A43E463" w14:textId="77777777" w:rsidR="00007B43" w:rsidRDefault="00007B43">
      <w:pPr>
        <w:pStyle w:val="BodyText"/>
        <w:spacing w:before="7"/>
        <w:rPr>
          <w:rFonts w:ascii="Times New Roman"/>
          <w:sz w:val="29"/>
        </w:rPr>
      </w:pPr>
    </w:p>
    <w:p w14:paraId="217F8197" w14:textId="77777777" w:rsidR="00687F90" w:rsidRDefault="00687F90" w:rsidP="00687F90">
      <w:pPr>
        <w:pStyle w:val="Heading1"/>
        <w:spacing w:before="45"/>
        <w:rPr>
          <w:sz w:val="26"/>
          <w:szCs w:val="26"/>
        </w:rPr>
      </w:pPr>
    </w:p>
    <w:p w14:paraId="0B271492" w14:textId="754CE1CE" w:rsidR="00687F90" w:rsidRPr="00007B43" w:rsidRDefault="008F46FC" w:rsidP="00687F90">
      <w:pPr>
        <w:pStyle w:val="Heading1"/>
        <w:spacing w:before="45"/>
        <w:rPr>
          <w:sz w:val="26"/>
          <w:szCs w:val="26"/>
        </w:rPr>
      </w:pPr>
      <w:r w:rsidRPr="00007B43">
        <w:rPr>
          <w:sz w:val="26"/>
          <w:szCs w:val="26"/>
        </w:rPr>
        <w:t>Association for Public Service Excellence</w:t>
      </w:r>
    </w:p>
    <w:p w14:paraId="31B1F869" w14:textId="635A5DD6" w:rsidR="00A85323" w:rsidRPr="00007B43" w:rsidRDefault="008F46FC" w:rsidP="00007B43">
      <w:pPr>
        <w:pStyle w:val="Heading1"/>
        <w:spacing w:before="45"/>
        <w:rPr>
          <w:sz w:val="26"/>
          <w:szCs w:val="26"/>
        </w:rPr>
      </w:pPr>
      <w:r w:rsidRPr="00007B43">
        <w:rPr>
          <w:sz w:val="26"/>
          <w:szCs w:val="26"/>
        </w:rPr>
        <w:t>The Local Government Commission</w:t>
      </w:r>
    </w:p>
    <w:p w14:paraId="13939363" w14:textId="77777777" w:rsidR="00A85323" w:rsidRPr="00007B43" w:rsidRDefault="008F46FC">
      <w:pPr>
        <w:spacing w:line="369" w:lineRule="exact"/>
        <w:ind w:left="160"/>
        <w:jc w:val="both"/>
        <w:rPr>
          <w:rFonts w:ascii="Myriad Pro"/>
          <w:b/>
          <w:sz w:val="26"/>
          <w:szCs w:val="26"/>
        </w:rPr>
      </w:pPr>
      <w:r w:rsidRPr="00007B43">
        <w:rPr>
          <w:rFonts w:ascii="Myriad Pro"/>
          <w:b/>
          <w:sz w:val="26"/>
          <w:szCs w:val="26"/>
        </w:rPr>
        <w:t>New Municipalism and Sustainable Local Government in 2030</w:t>
      </w:r>
    </w:p>
    <w:p w14:paraId="1F89FC22" w14:textId="77777777" w:rsidR="00A85323" w:rsidRDefault="00A85323">
      <w:pPr>
        <w:pStyle w:val="BodyText"/>
        <w:spacing w:before="12"/>
        <w:rPr>
          <w:b/>
          <w:sz w:val="26"/>
        </w:rPr>
      </w:pPr>
    </w:p>
    <w:p w14:paraId="0B9A5C8D" w14:textId="77777777" w:rsidR="00A85323" w:rsidRPr="00772CF1" w:rsidRDefault="008F46FC" w:rsidP="00772CF1">
      <w:pPr>
        <w:pStyle w:val="Heading1"/>
        <w:rPr>
          <w:sz w:val="22"/>
          <w:szCs w:val="22"/>
        </w:rPr>
      </w:pPr>
      <w:r w:rsidRPr="00772CF1">
        <w:rPr>
          <w:sz w:val="22"/>
          <w:szCs w:val="22"/>
        </w:rPr>
        <w:t>Scope of the Commission</w:t>
      </w:r>
    </w:p>
    <w:p w14:paraId="3BDD498A" w14:textId="77777777" w:rsidR="00A85323" w:rsidRPr="00772CF1" w:rsidRDefault="008F46FC" w:rsidP="00007B43">
      <w:pPr>
        <w:pStyle w:val="BodyText"/>
        <w:spacing w:before="211"/>
        <w:ind w:left="160" w:right="157"/>
        <w:rPr>
          <w:szCs w:val="22"/>
        </w:rPr>
      </w:pPr>
      <w:r w:rsidRPr="00772CF1">
        <w:rPr>
          <w:szCs w:val="22"/>
        </w:rPr>
        <w:t>The APSE Local Government Commission is conducting an independent inquiry into the future role of local government across the United Kingdom. It will identify and assess the capabilities and capacities of local government, capturing good practice and investigating the powers and responsibilities required for local councils to advance a new municipalism and vision over the next ten years.</w:t>
      </w:r>
    </w:p>
    <w:p w14:paraId="335B1571" w14:textId="77777777" w:rsidR="00A85323" w:rsidRPr="00772CF1" w:rsidRDefault="00A85323" w:rsidP="00007B43">
      <w:pPr>
        <w:pStyle w:val="BodyText"/>
        <w:spacing w:before="8"/>
        <w:rPr>
          <w:szCs w:val="22"/>
        </w:rPr>
      </w:pPr>
    </w:p>
    <w:p w14:paraId="48524F84" w14:textId="77777777" w:rsidR="00A85323" w:rsidRPr="00772CF1" w:rsidRDefault="008F46FC" w:rsidP="00007B43">
      <w:pPr>
        <w:pStyle w:val="BodyText"/>
        <w:ind w:left="160" w:right="156"/>
        <w:rPr>
          <w:szCs w:val="22"/>
        </w:rPr>
      </w:pPr>
      <w:r w:rsidRPr="00772CF1">
        <w:rPr>
          <w:szCs w:val="22"/>
        </w:rPr>
        <w:t>The</w:t>
      </w:r>
      <w:r w:rsidRPr="00772CF1">
        <w:rPr>
          <w:spacing w:val="-19"/>
          <w:szCs w:val="22"/>
        </w:rPr>
        <w:t xml:space="preserve"> </w:t>
      </w:r>
      <w:r w:rsidRPr="00772CF1">
        <w:rPr>
          <w:szCs w:val="22"/>
        </w:rPr>
        <w:t>Commission</w:t>
      </w:r>
      <w:r w:rsidRPr="00772CF1">
        <w:rPr>
          <w:spacing w:val="-18"/>
          <w:szCs w:val="22"/>
        </w:rPr>
        <w:t xml:space="preserve"> </w:t>
      </w:r>
      <w:r w:rsidRPr="00772CF1">
        <w:rPr>
          <w:szCs w:val="22"/>
        </w:rPr>
        <w:t>has</w:t>
      </w:r>
      <w:r w:rsidRPr="00772CF1">
        <w:rPr>
          <w:spacing w:val="-18"/>
          <w:szCs w:val="22"/>
        </w:rPr>
        <w:t xml:space="preserve"> </w:t>
      </w:r>
      <w:r w:rsidRPr="00772CF1">
        <w:rPr>
          <w:szCs w:val="22"/>
        </w:rPr>
        <w:t>taken</w:t>
      </w:r>
      <w:r w:rsidRPr="00772CF1">
        <w:rPr>
          <w:spacing w:val="-19"/>
          <w:szCs w:val="22"/>
        </w:rPr>
        <w:t xml:space="preserve"> </w:t>
      </w:r>
      <w:r w:rsidRPr="00772CF1">
        <w:rPr>
          <w:szCs w:val="22"/>
        </w:rPr>
        <w:t>2030</w:t>
      </w:r>
      <w:r w:rsidRPr="00772CF1">
        <w:rPr>
          <w:spacing w:val="-18"/>
          <w:szCs w:val="22"/>
        </w:rPr>
        <w:t xml:space="preserve"> </w:t>
      </w:r>
      <w:r w:rsidRPr="00772CF1">
        <w:rPr>
          <w:szCs w:val="22"/>
        </w:rPr>
        <w:t>as</w:t>
      </w:r>
      <w:r w:rsidRPr="00772CF1">
        <w:rPr>
          <w:spacing w:val="-18"/>
          <w:szCs w:val="22"/>
        </w:rPr>
        <w:t xml:space="preserve"> </w:t>
      </w:r>
      <w:r w:rsidRPr="00772CF1">
        <w:rPr>
          <w:szCs w:val="22"/>
        </w:rPr>
        <w:t>its</w:t>
      </w:r>
      <w:r w:rsidRPr="00772CF1">
        <w:rPr>
          <w:spacing w:val="-19"/>
          <w:szCs w:val="22"/>
        </w:rPr>
        <w:t xml:space="preserve"> </w:t>
      </w:r>
      <w:r w:rsidRPr="00772CF1">
        <w:rPr>
          <w:szCs w:val="22"/>
        </w:rPr>
        <w:t>key</w:t>
      </w:r>
      <w:r w:rsidRPr="00772CF1">
        <w:rPr>
          <w:spacing w:val="-18"/>
          <w:szCs w:val="22"/>
        </w:rPr>
        <w:t xml:space="preserve"> </w:t>
      </w:r>
      <w:r w:rsidRPr="00772CF1">
        <w:rPr>
          <w:szCs w:val="22"/>
        </w:rPr>
        <w:t>date</w:t>
      </w:r>
      <w:r w:rsidRPr="00772CF1">
        <w:rPr>
          <w:spacing w:val="-18"/>
          <w:szCs w:val="22"/>
        </w:rPr>
        <w:t xml:space="preserve"> </w:t>
      </w:r>
      <w:r w:rsidRPr="00772CF1">
        <w:rPr>
          <w:szCs w:val="22"/>
        </w:rPr>
        <w:t>on</w:t>
      </w:r>
      <w:r w:rsidRPr="00772CF1">
        <w:rPr>
          <w:spacing w:val="-19"/>
          <w:szCs w:val="22"/>
        </w:rPr>
        <w:t xml:space="preserve"> </w:t>
      </w:r>
      <w:r w:rsidRPr="00772CF1">
        <w:rPr>
          <w:szCs w:val="22"/>
        </w:rPr>
        <w:t>the</w:t>
      </w:r>
      <w:r w:rsidRPr="00772CF1">
        <w:rPr>
          <w:spacing w:val="-18"/>
          <w:szCs w:val="22"/>
        </w:rPr>
        <w:t xml:space="preserve"> </w:t>
      </w:r>
      <w:r w:rsidRPr="00772CF1">
        <w:rPr>
          <w:szCs w:val="22"/>
        </w:rPr>
        <w:t>horizon,</w:t>
      </w:r>
      <w:r w:rsidRPr="00772CF1">
        <w:rPr>
          <w:spacing w:val="-18"/>
          <w:szCs w:val="22"/>
        </w:rPr>
        <w:t xml:space="preserve"> </w:t>
      </w:r>
      <w:r w:rsidRPr="00772CF1">
        <w:rPr>
          <w:szCs w:val="22"/>
        </w:rPr>
        <w:t>signalling</w:t>
      </w:r>
      <w:r w:rsidRPr="00772CF1">
        <w:rPr>
          <w:spacing w:val="-19"/>
          <w:szCs w:val="22"/>
        </w:rPr>
        <w:t xml:space="preserve"> </w:t>
      </w:r>
      <w:r w:rsidRPr="00772CF1">
        <w:rPr>
          <w:szCs w:val="22"/>
        </w:rPr>
        <w:t>its</w:t>
      </w:r>
      <w:r w:rsidRPr="00772CF1">
        <w:rPr>
          <w:spacing w:val="-18"/>
          <w:szCs w:val="22"/>
        </w:rPr>
        <w:t xml:space="preserve"> </w:t>
      </w:r>
      <w:r w:rsidRPr="00772CF1">
        <w:rPr>
          <w:szCs w:val="22"/>
        </w:rPr>
        <w:t>commitment</w:t>
      </w:r>
      <w:r w:rsidRPr="00772CF1">
        <w:rPr>
          <w:spacing w:val="-18"/>
          <w:szCs w:val="22"/>
        </w:rPr>
        <w:t xml:space="preserve"> </w:t>
      </w:r>
      <w:r w:rsidRPr="00772CF1">
        <w:rPr>
          <w:szCs w:val="22"/>
        </w:rPr>
        <w:t>to</w:t>
      </w:r>
      <w:r w:rsidRPr="00772CF1">
        <w:rPr>
          <w:spacing w:val="-19"/>
          <w:szCs w:val="22"/>
        </w:rPr>
        <w:t xml:space="preserve"> </w:t>
      </w:r>
      <w:r w:rsidRPr="00772CF1">
        <w:rPr>
          <w:szCs w:val="22"/>
        </w:rPr>
        <w:t>meet</w:t>
      </w:r>
      <w:r w:rsidRPr="00772CF1">
        <w:rPr>
          <w:spacing w:val="-18"/>
          <w:szCs w:val="22"/>
        </w:rPr>
        <w:t xml:space="preserve"> </w:t>
      </w:r>
      <w:r w:rsidRPr="00772CF1">
        <w:rPr>
          <w:szCs w:val="22"/>
        </w:rPr>
        <w:t>the</w:t>
      </w:r>
      <w:r w:rsidRPr="00772CF1">
        <w:rPr>
          <w:spacing w:val="-18"/>
          <w:szCs w:val="22"/>
        </w:rPr>
        <w:t xml:space="preserve"> </w:t>
      </w:r>
      <w:r w:rsidRPr="00772CF1">
        <w:rPr>
          <w:szCs w:val="22"/>
        </w:rPr>
        <w:t>challenges of climate change and sustainability, one of the pressing ‘wicked policy issues’ facing local authorities. Indeed, the Commission is seeking to build on the principle of local stewardship, viewing local government as one of the key sites to mitigate climate</w:t>
      </w:r>
      <w:r w:rsidRPr="00772CF1">
        <w:rPr>
          <w:spacing w:val="-1"/>
          <w:szCs w:val="22"/>
        </w:rPr>
        <w:t xml:space="preserve"> </w:t>
      </w:r>
      <w:r w:rsidRPr="00772CF1">
        <w:rPr>
          <w:szCs w:val="22"/>
        </w:rPr>
        <w:t>change.</w:t>
      </w:r>
    </w:p>
    <w:p w14:paraId="18C14F06" w14:textId="77777777" w:rsidR="00A85323" w:rsidRPr="00772CF1" w:rsidRDefault="00A85323" w:rsidP="00007B43">
      <w:pPr>
        <w:pStyle w:val="BodyText"/>
        <w:spacing w:before="8"/>
        <w:rPr>
          <w:szCs w:val="22"/>
        </w:rPr>
      </w:pPr>
    </w:p>
    <w:p w14:paraId="4B016B60" w14:textId="77777777" w:rsidR="00A85323" w:rsidRPr="00772CF1" w:rsidRDefault="008F46FC" w:rsidP="00007B43">
      <w:pPr>
        <w:pStyle w:val="BodyText"/>
        <w:spacing w:before="1"/>
        <w:ind w:left="160" w:right="158"/>
        <w:rPr>
          <w:szCs w:val="22"/>
        </w:rPr>
      </w:pPr>
      <w:r w:rsidRPr="00772CF1">
        <w:rPr>
          <w:szCs w:val="22"/>
        </w:rPr>
        <w:t>Importantly, the Commission acknowledges the diversity of the formal and informal organisational structures, service responsibilities, and pertinent issues across local government post-devolution. Its recommendations will</w:t>
      </w:r>
      <w:r w:rsidRPr="00772CF1">
        <w:rPr>
          <w:spacing w:val="-8"/>
          <w:szCs w:val="22"/>
        </w:rPr>
        <w:t xml:space="preserve"> </w:t>
      </w:r>
      <w:r w:rsidRPr="00772CF1">
        <w:rPr>
          <w:szCs w:val="22"/>
        </w:rPr>
        <w:t>recognise</w:t>
      </w:r>
      <w:r w:rsidRPr="00772CF1">
        <w:rPr>
          <w:spacing w:val="-8"/>
          <w:szCs w:val="22"/>
        </w:rPr>
        <w:t xml:space="preserve"> </w:t>
      </w:r>
      <w:r w:rsidRPr="00772CF1">
        <w:rPr>
          <w:szCs w:val="22"/>
        </w:rPr>
        <w:t>the</w:t>
      </w:r>
      <w:r w:rsidRPr="00772CF1">
        <w:rPr>
          <w:spacing w:val="-7"/>
          <w:szCs w:val="22"/>
        </w:rPr>
        <w:t xml:space="preserve"> </w:t>
      </w:r>
      <w:r w:rsidRPr="00772CF1">
        <w:rPr>
          <w:szCs w:val="22"/>
        </w:rPr>
        <w:t>multiple,</w:t>
      </w:r>
      <w:r w:rsidRPr="00772CF1">
        <w:rPr>
          <w:spacing w:val="-8"/>
          <w:szCs w:val="22"/>
        </w:rPr>
        <w:t xml:space="preserve"> </w:t>
      </w:r>
      <w:r w:rsidRPr="00772CF1">
        <w:rPr>
          <w:szCs w:val="22"/>
        </w:rPr>
        <w:t>complex</w:t>
      </w:r>
      <w:r w:rsidRPr="00772CF1">
        <w:rPr>
          <w:spacing w:val="-7"/>
          <w:szCs w:val="22"/>
        </w:rPr>
        <w:t xml:space="preserve"> </w:t>
      </w:r>
      <w:r w:rsidRPr="00772CF1">
        <w:rPr>
          <w:szCs w:val="22"/>
        </w:rPr>
        <w:t>and</w:t>
      </w:r>
      <w:r w:rsidRPr="00772CF1">
        <w:rPr>
          <w:spacing w:val="-8"/>
          <w:szCs w:val="22"/>
        </w:rPr>
        <w:t xml:space="preserve"> </w:t>
      </w:r>
      <w:r w:rsidRPr="00772CF1">
        <w:rPr>
          <w:szCs w:val="22"/>
        </w:rPr>
        <w:t>evolving</w:t>
      </w:r>
      <w:r w:rsidRPr="00772CF1">
        <w:rPr>
          <w:spacing w:val="-8"/>
          <w:szCs w:val="22"/>
        </w:rPr>
        <w:t xml:space="preserve"> </w:t>
      </w:r>
      <w:r w:rsidRPr="00772CF1">
        <w:rPr>
          <w:szCs w:val="22"/>
        </w:rPr>
        <w:t>systems</w:t>
      </w:r>
      <w:r w:rsidRPr="00772CF1">
        <w:rPr>
          <w:spacing w:val="-7"/>
          <w:szCs w:val="22"/>
        </w:rPr>
        <w:t xml:space="preserve"> </w:t>
      </w:r>
      <w:r w:rsidRPr="00772CF1">
        <w:rPr>
          <w:szCs w:val="22"/>
        </w:rPr>
        <w:t>that</w:t>
      </w:r>
      <w:r w:rsidRPr="00772CF1">
        <w:rPr>
          <w:spacing w:val="-8"/>
          <w:szCs w:val="22"/>
        </w:rPr>
        <w:t xml:space="preserve"> </w:t>
      </w:r>
      <w:r w:rsidRPr="00772CF1">
        <w:rPr>
          <w:szCs w:val="22"/>
        </w:rPr>
        <w:t>mark</w:t>
      </w:r>
      <w:r w:rsidRPr="00772CF1">
        <w:rPr>
          <w:spacing w:val="-7"/>
          <w:szCs w:val="22"/>
        </w:rPr>
        <w:t xml:space="preserve"> </w:t>
      </w:r>
      <w:r w:rsidRPr="00772CF1">
        <w:rPr>
          <w:szCs w:val="22"/>
        </w:rPr>
        <w:t>the</w:t>
      </w:r>
      <w:r w:rsidRPr="00772CF1">
        <w:rPr>
          <w:spacing w:val="-8"/>
          <w:szCs w:val="22"/>
        </w:rPr>
        <w:t xml:space="preserve"> </w:t>
      </w:r>
      <w:r w:rsidRPr="00772CF1">
        <w:rPr>
          <w:szCs w:val="22"/>
        </w:rPr>
        <w:t>landscape</w:t>
      </w:r>
      <w:r w:rsidRPr="00772CF1">
        <w:rPr>
          <w:spacing w:val="-8"/>
          <w:szCs w:val="22"/>
        </w:rPr>
        <w:t xml:space="preserve"> </w:t>
      </w:r>
      <w:r w:rsidRPr="00772CF1">
        <w:rPr>
          <w:szCs w:val="22"/>
        </w:rPr>
        <w:t>of</w:t>
      </w:r>
      <w:r w:rsidRPr="00772CF1">
        <w:rPr>
          <w:spacing w:val="-7"/>
          <w:szCs w:val="22"/>
        </w:rPr>
        <w:t xml:space="preserve"> </w:t>
      </w:r>
      <w:r w:rsidRPr="00772CF1">
        <w:rPr>
          <w:szCs w:val="22"/>
        </w:rPr>
        <w:t>local</w:t>
      </w:r>
      <w:r w:rsidRPr="00772CF1">
        <w:rPr>
          <w:spacing w:val="-8"/>
          <w:szCs w:val="22"/>
        </w:rPr>
        <w:t xml:space="preserve"> </w:t>
      </w:r>
      <w:r w:rsidRPr="00772CF1">
        <w:rPr>
          <w:szCs w:val="22"/>
        </w:rPr>
        <w:t>government</w:t>
      </w:r>
      <w:r w:rsidRPr="00772CF1">
        <w:rPr>
          <w:spacing w:val="-7"/>
          <w:szCs w:val="22"/>
        </w:rPr>
        <w:t xml:space="preserve"> </w:t>
      </w:r>
      <w:r w:rsidRPr="00772CF1">
        <w:rPr>
          <w:spacing w:val="-3"/>
          <w:szCs w:val="22"/>
        </w:rPr>
        <w:t xml:space="preserve">across </w:t>
      </w:r>
      <w:r w:rsidRPr="00772CF1">
        <w:rPr>
          <w:szCs w:val="22"/>
        </w:rPr>
        <w:t>England, Scotland, Wales and Northern</w:t>
      </w:r>
      <w:r w:rsidRPr="00772CF1">
        <w:rPr>
          <w:spacing w:val="-10"/>
          <w:szCs w:val="22"/>
        </w:rPr>
        <w:t xml:space="preserve"> </w:t>
      </w:r>
      <w:r w:rsidRPr="00772CF1">
        <w:rPr>
          <w:szCs w:val="22"/>
        </w:rPr>
        <w:t>Ireland.</w:t>
      </w:r>
    </w:p>
    <w:p w14:paraId="108125AF" w14:textId="77777777" w:rsidR="00A85323" w:rsidRPr="00687F90" w:rsidRDefault="00A85323" w:rsidP="00007B43">
      <w:pPr>
        <w:pStyle w:val="BodyText"/>
        <w:spacing w:before="10"/>
        <w:rPr>
          <w:szCs w:val="22"/>
        </w:rPr>
      </w:pPr>
    </w:p>
    <w:p w14:paraId="458F5BF4" w14:textId="77777777" w:rsidR="00A85323" w:rsidRPr="00687F90" w:rsidRDefault="008F46FC" w:rsidP="00007B43">
      <w:pPr>
        <w:pStyle w:val="Heading1"/>
        <w:jc w:val="left"/>
        <w:rPr>
          <w:sz w:val="22"/>
          <w:szCs w:val="22"/>
        </w:rPr>
      </w:pPr>
      <w:r w:rsidRPr="00687F90">
        <w:rPr>
          <w:sz w:val="22"/>
          <w:szCs w:val="22"/>
        </w:rPr>
        <w:t>A word from the Commissioners</w:t>
      </w:r>
    </w:p>
    <w:p w14:paraId="27C76E04" w14:textId="4E657211" w:rsidR="00A85323" w:rsidRPr="00772CF1" w:rsidRDefault="008F46FC" w:rsidP="00007B43">
      <w:pPr>
        <w:pStyle w:val="BodyText"/>
        <w:spacing w:before="211"/>
        <w:ind w:left="159" w:right="156"/>
        <w:rPr>
          <w:szCs w:val="22"/>
        </w:rPr>
      </w:pPr>
      <w:r w:rsidRPr="00772CF1">
        <w:rPr>
          <w:szCs w:val="22"/>
        </w:rPr>
        <w:t xml:space="preserve">‘Local government has in the past ten years gone through a period of rapid change. New innovative ways of working have emerged, novel forms of governance have come into being, </w:t>
      </w:r>
      <w:r w:rsidR="00BF76B1" w:rsidRPr="00772CF1">
        <w:rPr>
          <w:szCs w:val="22"/>
        </w:rPr>
        <w:t>while the policy</w:t>
      </w:r>
      <w:r w:rsidRPr="00772CF1">
        <w:rPr>
          <w:spacing w:val="22"/>
          <w:szCs w:val="22"/>
        </w:rPr>
        <w:t xml:space="preserve"> </w:t>
      </w:r>
      <w:r w:rsidRPr="00772CF1">
        <w:rPr>
          <w:szCs w:val="22"/>
        </w:rPr>
        <w:t>challenges facing local government, and the expectations of local communities, have increased. Now, it is time to take stock and think carefully about how we design and reshape local government for the future. As Commissioners, we want to hear from as many different viewpoints as possible, from different individuals, groups and organisations with an interest in local government and local c</w:t>
      </w:r>
      <w:bookmarkStart w:id="0" w:name="_GoBack"/>
      <w:bookmarkEnd w:id="0"/>
      <w:r w:rsidRPr="00772CF1">
        <w:rPr>
          <w:szCs w:val="22"/>
        </w:rPr>
        <w:t xml:space="preserve">ommunities. Only then can </w:t>
      </w:r>
      <w:r w:rsidRPr="00772CF1">
        <w:rPr>
          <w:spacing w:val="-8"/>
          <w:szCs w:val="22"/>
        </w:rPr>
        <w:t xml:space="preserve">we </w:t>
      </w:r>
      <w:r w:rsidRPr="00772CF1">
        <w:rPr>
          <w:szCs w:val="22"/>
        </w:rPr>
        <w:t xml:space="preserve">begin to rethink local government for the challenges ahead. We encourage you to share your views </w:t>
      </w:r>
      <w:proofErr w:type="gramStart"/>
      <w:r w:rsidRPr="00772CF1">
        <w:rPr>
          <w:szCs w:val="22"/>
        </w:rPr>
        <w:t>and  have</w:t>
      </w:r>
      <w:proofErr w:type="gramEnd"/>
      <w:r w:rsidRPr="00772CF1">
        <w:rPr>
          <w:spacing w:val="10"/>
          <w:szCs w:val="22"/>
        </w:rPr>
        <w:t xml:space="preserve"> </w:t>
      </w:r>
      <w:r w:rsidRPr="00772CF1">
        <w:rPr>
          <w:szCs w:val="22"/>
        </w:rPr>
        <w:t>your</w:t>
      </w:r>
      <w:r w:rsidRPr="00772CF1">
        <w:rPr>
          <w:spacing w:val="10"/>
          <w:szCs w:val="22"/>
        </w:rPr>
        <w:t xml:space="preserve"> </w:t>
      </w:r>
      <w:r w:rsidRPr="00772CF1">
        <w:rPr>
          <w:szCs w:val="22"/>
        </w:rPr>
        <w:t>say</w:t>
      </w:r>
      <w:r w:rsidRPr="00772CF1">
        <w:rPr>
          <w:spacing w:val="11"/>
          <w:szCs w:val="22"/>
        </w:rPr>
        <w:t xml:space="preserve"> </w:t>
      </w:r>
      <w:r w:rsidRPr="00772CF1">
        <w:rPr>
          <w:szCs w:val="22"/>
        </w:rPr>
        <w:t>about</w:t>
      </w:r>
      <w:r w:rsidRPr="00772CF1">
        <w:rPr>
          <w:spacing w:val="10"/>
          <w:szCs w:val="22"/>
        </w:rPr>
        <w:t xml:space="preserve"> </w:t>
      </w:r>
      <w:r w:rsidRPr="00772CF1">
        <w:rPr>
          <w:szCs w:val="22"/>
        </w:rPr>
        <w:t>the</w:t>
      </w:r>
      <w:r w:rsidRPr="00772CF1">
        <w:rPr>
          <w:spacing w:val="11"/>
          <w:szCs w:val="22"/>
        </w:rPr>
        <w:t xml:space="preserve"> </w:t>
      </w:r>
      <w:r w:rsidRPr="00772CF1">
        <w:rPr>
          <w:szCs w:val="22"/>
        </w:rPr>
        <w:t>future</w:t>
      </w:r>
      <w:r w:rsidRPr="00772CF1">
        <w:rPr>
          <w:spacing w:val="10"/>
          <w:szCs w:val="22"/>
        </w:rPr>
        <w:t xml:space="preserve"> </w:t>
      </w:r>
      <w:r w:rsidRPr="00772CF1">
        <w:rPr>
          <w:szCs w:val="22"/>
        </w:rPr>
        <w:t>of</w:t>
      </w:r>
      <w:r w:rsidRPr="00772CF1">
        <w:rPr>
          <w:spacing w:val="10"/>
          <w:szCs w:val="22"/>
        </w:rPr>
        <w:t xml:space="preserve"> </w:t>
      </w:r>
      <w:r w:rsidRPr="00772CF1">
        <w:rPr>
          <w:szCs w:val="22"/>
        </w:rPr>
        <w:t>local</w:t>
      </w:r>
      <w:r w:rsidRPr="00772CF1">
        <w:rPr>
          <w:spacing w:val="11"/>
          <w:szCs w:val="22"/>
        </w:rPr>
        <w:t xml:space="preserve"> </w:t>
      </w:r>
      <w:r w:rsidRPr="00772CF1">
        <w:rPr>
          <w:spacing w:val="-3"/>
          <w:szCs w:val="22"/>
        </w:rPr>
        <w:t>government.’</w:t>
      </w:r>
      <w:r w:rsidRPr="00772CF1">
        <w:rPr>
          <w:spacing w:val="-2"/>
          <w:szCs w:val="22"/>
        </w:rPr>
        <w:t xml:space="preserve"> </w:t>
      </w:r>
      <w:r w:rsidRPr="00772CF1">
        <w:rPr>
          <w:szCs w:val="22"/>
        </w:rPr>
        <w:t>The</w:t>
      </w:r>
      <w:r w:rsidRPr="00772CF1">
        <w:rPr>
          <w:spacing w:val="1"/>
          <w:szCs w:val="22"/>
        </w:rPr>
        <w:t xml:space="preserve"> </w:t>
      </w:r>
      <w:r w:rsidRPr="00772CF1">
        <w:rPr>
          <w:szCs w:val="22"/>
        </w:rPr>
        <w:t>APSE Local Government</w:t>
      </w:r>
      <w:r w:rsidRPr="00772CF1">
        <w:rPr>
          <w:spacing w:val="1"/>
          <w:szCs w:val="22"/>
        </w:rPr>
        <w:t xml:space="preserve"> </w:t>
      </w:r>
      <w:r w:rsidRPr="00772CF1">
        <w:rPr>
          <w:szCs w:val="22"/>
        </w:rPr>
        <w:t>Commission 2030.</w:t>
      </w:r>
    </w:p>
    <w:p w14:paraId="28D46925" w14:textId="77777777" w:rsidR="00A85323" w:rsidRPr="00687F90" w:rsidRDefault="00A85323" w:rsidP="00007B43">
      <w:pPr>
        <w:pStyle w:val="BodyText"/>
        <w:spacing w:before="11"/>
        <w:rPr>
          <w:szCs w:val="22"/>
        </w:rPr>
      </w:pPr>
    </w:p>
    <w:p w14:paraId="77D2742C" w14:textId="77777777" w:rsidR="00A85323" w:rsidRPr="00687F90" w:rsidRDefault="008F46FC" w:rsidP="00007B43">
      <w:pPr>
        <w:pStyle w:val="Heading1"/>
        <w:ind w:left="159"/>
        <w:jc w:val="left"/>
        <w:rPr>
          <w:sz w:val="22"/>
          <w:szCs w:val="22"/>
        </w:rPr>
      </w:pPr>
      <w:r w:rsidRPr="00687F90">
        <w:rPr>
          <w:sz w:val="22"/>
          <w:szCs w:val="22"/>
        </w:rPr>
        <w:t>Send in your views</w:t>
      </w:r>
    </w:p>
    <w:p w14:paraId="5FBFC3FA" w14:textId="77777777" w:rsidR="00A85323" w:rsidRPr="00687F90" w:rsidRDefault="008F46FC" w:rsidP="00007B43">
      <w:pPr>
        <w:pStyle w:val="BodyText"/>
        <w:spacing w:before="211"/>
        <w:ind w:left="160" w:right="157"/>
        <w:rPr>
          <w:szCs w:val="22"/>
        </w:rPr>
      </w:pPr>
      <w:r w:rsidRPr="00687F90">
        <w:rPr>
          <w:szCs w:val="22"/>
        </w:rPr>
        <w:t>Evidence and views are welcomed on the future role of local government; stewardship of place; local finance and</w:t>
      </w:r>
      <w:r w:rsidRPr="00687F90">
        <w:rPr>
          <w:spacing w:val="-19"/>
          <w:szCs w:val="22"/>
        </w:rPr>
        <w:t xml:space="preserve"> </w:t>
      </w:r>
      <w:r w:rsidRPr="00687F90">
        <w:rPr>
          <w:szCs w:val="22"/>
        </w:rPr>
        <w:t>funding</w:t>
      </w:r>
      <w:r w:rsidRPr="00687F90">
        <w:rPr>
          <w:spacing w:val="-18"/>
          <w:szCs w:val="22"/>
        </w:rPr>
        <w:t xml:space="preserve"> </w:t>
      </w:r>
      <w:r w:rsidRPr="00687F90">
        <w:rPr>
          <w:szCs w:val="22"/>
        </w:rPr>
        <w:t>regimes;</w:t>
      </w:r>
      <w:r w:rsidRPr="00687F90">
        <w:rPr>
          <w:spacing w:val="-18"/>
          <w:szCs w:val="22"/>
        </w:rPr>
        <w:t xml:space="preserve"> </w:t>
      </w:r>
      <w:r w:rsidRPr="00687F90">
        <w:rPr>
          <w:szCs w:val="22"/>
        </w:rPr>
        <w:t>local</w:t>
      </w:r>
      <w:r w:rsidRPr="00687F90">
        <w:rPr>
          <w:spacing w:val="-18"/>
          <w:szCs w:val="22"/>
        </w:rPr>
        <w:t xml:space="preserve"> </w:t>
      </w:r>
      <w:r w:rsidRPr="00687F90">
        <w:rPr>
          <w:szCs w:val="22"/>
        </w:rPr>
        <w:t>government</w:t>
      </w:r>
      <w:r w:rsidRPr="00687F90">
        <w:rPr>
          <w:spacing w:val="-18"/>
          <w:szCs w:val="22"/>
        </w:rPr>
        <w:t xml:space="preserve"> </w:t>
      </w:r>
      <w:r w:rsidRPr="00687F90">
        <w:rPr>
          <w:szCs w:val="22"/>
        </w:rPr>
        <w:t>organisation</w:t>
      </w:r>
      <w:r w:rsidRPr="00687F90">
        <w:rPr>
          <w:spacing w:val="-19"/>
          <w:szCs w:val="22"/>
        </w:rPr>
        <w:t xml:space="preserve"> </w:t>
      </w:r>
      <w:r w:rsidRPr="00687F90">
        <w:rPr>
          <w:szCs w:val="22"/>
        </w:rPr>
        <w:t>and</w:t>
      </w:r>
      <w:r w:rsidRPr="00687F90">
        <w:rPr>
          <w:spacing w:val="-18"/>
          <w:szCs w:val="22"/>
        </w:rPr>
        <w:t xml:space="preserve"> </w:t>
      </w:r>
      <w:r w:rsidRPr="00687F90">
        <w:rPr>
          <w:szCs w:val="22"/>
        </w:rPr>
        <w:t>structures;</w:t>
      </w:r>
      <w:r w:rsidRPr="00687F90">
        <w:rPr>
          <w:spacing w:val="-18"/>
          <w:szCs w:val="22"/>
        </w:rPr>
        <w:t xml:space="preserve"> </w:t>
      </w:r>
      <w:r w:rsidRPr="00687F90">
        <w:rPr>
          <w:szCs w:val="22"/>
        </w:rPr>
        <w:t>workforce</w:t>
      </w:r>
      <w:r w:rsidRPr="00687F90">
        <w:rPr>
          <w:spacing w:val="-18"/>
          <w:szCs w:val="22"/>
        </w:rPr>
        <w:t xml:space="preserve"> </w:t>
      </w:r>
      <w:r w:rsidRPr="00687F90">
        <w:rPr>
          <w:szCs w:val="22"/>
        </w:rPr>
        <w:t>capacities</w:t>
      </w:r>
      <w:r w:rsidRPr="00687F90">
        <w:rPr>
          <w:spacing w:val="-18"/>
          <w:szCs w:val="22"/>
        </w:rPr>
        <w:t xml:space="preserve"> </w:t>
      </w:r>
      <w:r w:rsidRPr="00687F90">
        <w:rPr>
          <w:szCs w:val="22"/>
        </w:rPr>
        <w:t>and</w:t>
      </w:r>
      <w:r w:rsidRPr="00687F90">
        <w:rPr>
          <w:spacing w:val="-19"/>
          <w:szCs w:val="22"/>
        </w:rPr>
        <w:t xml:space="preserve"> </w:t>
      </w:r>
      <w:r w:rsidRPr="00687F90">
        <w:rPr>
          <w:szCs w:val="22"/>
        </w:rPr>
        <w:t>roles;</w:t>
      </w:r>
      <w:r w:rsidRPr="00687F90">
        <w:rPr>
          <w:spacing w:val="-18"/>
          <w:szCs w:val="22"/>
        </w:rPr>
        <w:t xml:space="preserve"> </w:t>
      </w:r>
      <w:r w:rsidRPr="00687F90">
        <w:rPr>
          <w:szCs w:val="22"/>
        </w:rPr>
        <w:t>local</w:t>
      </w:r>
      <w:r w:rsidRPr="00687F90">
        <w:rPr>
          <w:spacing w:val="-18"/>
          <w:szCs w:val="22"/>
        </w:rPr>
        <w:t xml:space="preserve"> </w:t>
      </w:r>
      <w:r w:rsidRPr="00687F90">
        <w:rPr>
          <w:szCs w:val="22"/>
        </w:rPr>
        <w:t>service provision; local democracy and accountability; community leadership, equality and diversity; and centre-local relations.</w:t>
      </w:r>
    </w:p>
    <w:p w14:paraId="5ACE41BC" w14:textId="77777777" w:rsidR="00A85323" w:rsidRPr="00687F90" w:rsidRDefault="00A85323" w:rsidP="00CF0A6C">
      <w:pPr>
        <w:pStyle w:val="BodyText"/>
        <w:spacing w:before="8"/>
        <w:rPr>
          <w:szCs w:val="22"/>
        </w:rPr>
      </w:pPr>
    </w:p>
    <w:p w14:paraId="471923E4" w14:textId="76016E4C" w:rsidR="00007B43" w:rsidRPr="00687F90" w:rsidRDefault="008F46FC" w:rsidP="00CF0A6C">
      <w:pPr>
        <w:pStyle w:val="BodyText"/>
        <w:spacing w:line="216" w:lineRule="auto"/>
        <w:ind w:left="160" w:right="158"/>
        <w:rPr>
          <w:szCs w:val="22"/>
          <w:u w:val="single"/>
        </w:rPr>
        <w:sectPr w:rsidR="00007B43" w:rsidRPr="00687F90" w:rsidSect="00007B43">
          <w:footerReference w:type="default" r:id="rId9"/>
          <w:pgSz w:w="11910" w:h="16840"/>
          <w:pgMar w:top="1440" w:right="1080" w:bottom="1440" w:left="1080" w:header="0" w:footer="720" w:gutter="0"/>
          <w:cols w:space="720"/>
          <w:titlePg/>
          <w:docGrid w:linePitch="299"/>
        </w:sectPr>
      </w:pPr>
      <w:r w:rsidRPr="00687F90">
        <w:rPr>
          <w:szCs w:val="22"/>
        </w:rPr>
        <w:t>The Commission is particularly interested in gathering written submissions on the following interconnected questions.</w:t>
      </w:r>
      <w:r w:rsidRPr="00687F90">
        <w:rPr>
          <w:spacing w:val="-6"/>
          <w:szCs w:val="22"/>
        </w:rPr>
        <w:t xml:space="preserve"> </w:t>
      </w:r>
      <w:r w:rsidRPr="00687F90">
        <w:rPr>
          <w:szCs w:val="22"/>
        </w:rPr>
        <w:t>Each</w:t>
      </w:r>
      <w:r w:rsidRPr="00687F90">
        <w:rPr>
          <w:spacing w:val="-7"/>
          <w:szCs w:val="22"/>
        </w:rPr>
        <w:t xml:space="preserve"> </w:t>
      </w:r>
      <w:r w:rsidRPr="00687F90">
        <w:rPr>
          <w:szCs w:val="22"/>
        </w:rPr>
        <w:t>question</w:t>
      </w:r>
      <w:r w:rsidRPr="00687F90">
        <w:rPr>
          <w:spacing w:val="-7"/>
          <w:szCs w:val="22"/>
        </w:rPr>
        <w:t xml:space="preserve"> </w:t>
      </w:r>
      <w:r w:rsidRPr="00687F90">
        <w:rPr>
          <w:szCs w:val="22"/>
        </w:rPr>
        <w:t>may</w:t>
      </w:r>
      <w:r w:rsidRPr="00687F90">
        <w:rPr>
          <w:spacing w:val="-7"/>
          <w:szCs w:val="22"/>
        </w:rPr>
        <w:t xml:space="preserve"> </w:t>
      </w:r>
      <w:r w:rsidRPr="00687F90">
        <w:rPr>
          <w:szCs w:val="22"/>
        </w:rPr>
        <w:t>have</w:t>
      </w:r>
      <w:r w:rsidRPr="00687F90">
        <w:rPr>
          <w:spacing w:val="-5"/>
          <w:szCs w:val="22"/>
        </w:rPr>
        <w:t xml:space="preserve"> </w:t>
      </w:r>
      <w:r w:rsidRPr="00687F90">
        <w:rPr>
          <w:szCs w:val="22"/>
        </w:rPr>
        <w:t>different</w:t>
      </w:r>
      <w:r w:rsidRPr="00687F90">
        <w:rPr>
          <w:spacing w:val="-4"/>
          <w:szCs w:val="22"/>
        </w:rPr>
        <w:t xml:space="preserve"> </w:t>
      </w:r>
      <w:r w:rsidRPr="00687F90">
        <w:rPr>
          <w:szCs w:val="22"/>
        </w:rPr>
        <w:t>salience,</w:t>
      </w:r>
      <w:r w:rsidRPr="00687F90">
        <w:rPr>
          <w:spacing w:val="-4"/>
          <w:szCs w:val="22"/>
        </w:rPr>
        <w:t xml:space="preserve"> </w:t>
      </w:r>
      <w:r w:rsidRPr="00687F90">
        <w:rPr>
          <w:szCs w:val="22"/>
        </w:rPr>
        <w:t>interpretations</w:t>
      </w:r>
      <w:r w:rsidRPr="00687F90">
        <w:rPr>
          <w:spacing w:val="-4"/>
          <w:szCs w:val="22"/>
        </w:rPr>
        <w:t xml:space="preserve"> </w:t>
      </w:r>
      <w:r w:rsidRPr="00687F90">
        <w:rPr>
          <w:szCs w:val="22"/>
        </w:rPr>
        <w:t>and</w:t>
      </w:r>
      <w:r w:rsidRPr="00687F90">
        <w:rPr>
          <w:spacing w:val="-4"/>
          <w:szCs w:val="22"/>
        </w:rPr>
        <w:t xml:space="preserve"> </w:t>
      </w:r>
      <w:r w:rsidRPr="00687F90">
        <w:rPr>
          <w:szCs w:val="22"/>
        </w:rPr>
        <w:t>weighting</w:t>
      </w:r>
      <w:r w:rsidRPr="00687F90">
        <w:rPr>
          <w:spacing w:val="-4"/>
          <w:szCs w:val="22"/>
        </w:rPr>
        <w:t xml:space="preserve"> </w:t>
      </w:r>
      <w:r w:rsidRPr="00687F90">
        <w:rPr>
          <w:szCs w:val="22"/>
        </w:rPr>
        <w:t>depending</w:t>
      </w:r>
      <w:r w:rsidRPr="00687F90">
        <w:rPr>
          <w:spacing w:val="-4"/>
          <w:szCs w:val="22"/>
        </w:rPr>
        <w:t xml:space="preserve"> </w:t>
      </w:r>
      <w:r w:rsidRPr="00687F90">
        <w:rPr>
          <w:szCs w:val="22"/>
        </w:rPr>
        <w:t>on</w:t>
      </w:r>
      <w:r w:rsidRPr="00687F90">
        <w:rPr>
          <w:spacing w:val="-4"/>
          <w:szCs w:val="22"/>
        </w:rPr>
        <w:t xml:space="preserve"> </w:t>
      </w:r>
      <w:r w:rsidRPr="00687F90">
        <w:rPr>
          <w:szCs w:val="22"/>
        </w:rPr>
        <w:t>which</w:t>
      </w:r>
      <w:r w:rsidRPr="00687F90">
        <w:rPr>
          <w:spacing w:val="-4"/>
          <w:szCs w:val="22"/>
        </w:rPr>
        <w:t xml:space="preserve"> </w:t>
      </w:r>
      <w:r w:rsidRPr="00687F90">
        <w:rPr>
          <w:szCs w:val="22"/>
        </w:rPr>
        <w:t xml:space="preserve">part of the UK it is being applied </w:t>
      </w:r>
      <w:r w:rsidRPr="00687F90">
        <w:rPr>
          <w:spacing w:val="-3"/>
          <w:szCs w:val="22"/>
        </w:rPr>
        <w:t xml:space="preserve">to. </w:t>
      </w:r>
      <w:r w:rsidRPr="00687F90">
        <w:rPr>
          <w:szCs w:val="22"/>
          <w:u w:val="single"/>
        </w:rPr>
        <w:t>Please note that responses do not have to answer all</w:t>
      </w:r>
      <w:r w:rsidRPr="00687F90">
        <w:rPr>
          <w:spacing w:val="-4"/>
          <w:szCs w:val="22"/>
          <w:u w:val="single"/>
        </w:rPr>
        <w:t xml:space="preserve"> </w:t>
      </w:r>
      <w:r w:rsidR="00007B43" w:rsidRPr="00687F90">
        <w:rPr>
          <w:szCs w:val="22"/>
          <w:u w:val="single"/>
        </w:rPr>
        <w:t>questions</w:t>
      </w:r>
    </w:p>
    <w:p w14:paraId="7D72B9B7" w14:textId="33697298" w:rsidR="00007B43" w:rsidRPr="00687F90" w:rsidRDefault="000B74B8" w:rsidP="00007B43">
      <w:pPr>
        <w:pStyle w:val="BodyText"/>
        <w:spacing w:line="216" w:lineRule="auto"/>
        <w:ind w:right="158" w:firstLine="160"/>
        <w:rPr>
          <w:i/>
          <w:szCs w:val="22"/>
        </w:rPr>
      </w:pPr>
      <w:r w:rsidRPr="00687F90">
        <w:rPr>
          <w:i/>
          <w:szCs w:val="22"/>
        </w:rPr>
        <w:lastRenderedPageBreak/>
        <w:t>Roles and Powers</w:t>
      </w:r>
    </w:p>
    <w:p w14:paraId="43381077"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 xml:space="preserve">What should be the role of local government? And how can that role be brought about? Does local government Require additional powers, and if so, which ones? Should there be further devolution of powers? </w:t>
      </w:r>
    </w:p>
    <w:p w14:paraId="58DC7314" w14:textId="77777777" w:rsidR="000B74B8" w:rsidRPr="00687F90" w:rsidRDefault="000B74B8" w:rsidP="00CF0A6C">
      <w:pPr>
        <w:pStyle w:val="BodyText"/>
        <w:rPr>
          <w:color w:val="000000" w:themeColor="text1"/>
          <w:szCs w:val="22"/>
        </w:rPr>
      </w:pPr>
    </w:p>
    <w:p w14:paraId="1C37BBE8" w14:textId="3DEC8DC1" w:rsidR="000B74B8" w:rsidRPr="00687F90" w:rsidRDefault="000B74B8" w:rsidP="00CF0A6C">
      <w:pPr>
        <w:pStyle w:val="BodyText"/>
        <w:numPr>
          <w:ilvl w:val="0"/>
          <w:numId w:val="3"/>
        </w:numPr>
        <w:rPr>
          <w:color w:val="000000" w:themeColor="text1"/>
          <w:szCs w:val="22"/>
        </w:rPr>
      </w:pPr>
      <w:r w:rsidRPr="00687F90">
        <w:rPr>
          <w:color w:val="000000" w:themeColor="text1"/>
          <w:szCs w:val="22"/>
        </w:rPr>
        <w:t>What services should local government deliver, and how?</w:t>
      </w:r>
      <w:r w:rsidRPr="00687F90">
        <w:rPr>
          <w:b/>
          <w:bCs/>
          <w:color w:val="000000" w:themeColor="text1"/>
          <w:szCs w:val="22"/>
        </w:rPr>
        <w:t xml:space="preserve"> </w:t>
      </w:r>
      <w:r w:rsidRPr="00687F90">
        <w:rPr>
          <w:color w:val="000000" w:themeColor="text1"/>
          <w:szCs w:val="22"/>
        </w:rPr>
        <w:t xml:space="preserve">Which services require local variation, and to what degree? How should services be integrated to better meet local needs in, for example, housing, health and social care, community cohesion, public protection, digitalisation, climate emergency and economic development? </w:t>
      </w:r>
      <w:r w:rsidRPr="00687F90">
        <w:rPr>
          <w:rFonts w:eastAsia="Times New Roman" w:cs="Calibri"/>
          <w:color w:val="000000" w:themeColor="text1"/>
          <w:szCs w:val="22"/>
          <w:lang w:val="en-US"/>
        </w:rPr>
        <w:t xml:space="preserve">What should be the role of local government in terms of </w:t>
      </w:r>
      <w:r w:rsidR="00BF76B1">
        <w:rPr>
          <w:rFonts w:eastAsia="Times New Roman" w:cs="Calibri"/>
          <w:color w:val="000000" w:themeColor="text1"/>
          <w:szCs w:val="22"/>
          <w:lang w:val="en-US"/>
        </w:rPr>
        <w:t>early interventions to pro-actively secure community wellbeing?</w:t>
      </w:r>
    </w:p>
    <w:p w14:paraId="21306D81" w14:textId="77777777" w:rsidR="000B74B8" w:rsidRPr="00687F90" w:rsidRDefault="000B74B8" w:rsidP="00CF0A6C">
      <w:pPr>
        <w:pStyle w:val="BodyText"/>
        <w:ind w:left="180"/>
        <w:rPr>
          <w:color w:val="000000" w:themeColor="text1"/>
          <w:szCs w:val="22"/>
        </w:rPr>
      </w:pPr>
    </w:p>
    <w:p w14:paraId="59E5A682" w14:textId="77777777" w:rsidR="000B74B8" w:rsidRPr="00687F90" w:rsidRDefault="000B74B8" w:rsidP="00CF0A6C">
      <w:pPr>
        <w:pStyle w:val="BodyText"/>
        <w:ind w:left="180"/>
        <w:rPr>
          <w:i/>
          <w:color w:val="000000" w:themeColor="text1"/>
          <w:szCs w:val="22"/>
        </w:rPr>
      </w:pPr>
      <w:r w:rsidRPr="00687F90">
        <w:rPr>
          <w:i/>
          <w:color w:val="000000" w:themeColor="text1"/>
          <w:szCs w:val="22"/>
        </w:rPr>
        <w:t>Organisational Cultures and Structures</w:t>
      </w:r>
    </w:p>
    <w:p w14:paraId="5A31AF5A" w14:textId="77777777" w:rsidR="000B74B8" w:rsidRPr="00687F90" w:rsidRDefault="000B74B8" w:rsidP="00007B43">
      <w:pPr>
        <w:pStyle w:val="BodyText"/>
        <w:numPr>
          <w:ilvl w:val="0"/>
          <w:numId w:val="3"/>
        </w:numPr>
        <w:rPr>
          <w:color w:val="000000" w:themeColor="text1"/>
          <w:szCs w:val="22"/>
        </w:rPr>
      </w:pPr>
      <w:r w:rsidRPr="00687F90">
        <w:rPr>
          <w:color w:val="000000" w:themeColor="text1"/>
          <w:szCs w:val="22"/>
        </w:rPr>
        <w:t xml:space="preserve">How should local government be organised to address the complex policy issues it will face in, for example, housing, health and social care, community cohesion, public protection, digitalisation, climate emergency and economic development? What needs to change to bring about these new ways of working? </w:t>
      </w:r>
    </w:p>
    <w:p w14:paraId="3F20FFA3" w14:textId="77777777" w:rsidR="000B74B8" w:rsidRPr="00687F90" w:rsidRDefault="000B74B8" w:rsidP="00CF0A6C">
      <w:pPr>
        <w:pStyle w:val="BodyText"/>
        <w:ind w:left="180"/>
        <w:rPr>
          <w:color w:val="000000" w:themeColor="text1"/>
          <w:szCs w:val="22"/>
        </w:rPr>
      </w:pPr>
    </w:p>
    <w:p w14:paraId="6FFBF84A"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What principles should underpin issues of council size and their place in the governance of communities? Which organisational structures can best balance competing requirements for efficiency, effectiveness, and democracy? How far should this be determined locally?</w:t>
      </w:r>
    </w:p>
    <w:p w14:paraId="30711430" w14:textId="77777777" w:rsidR="000B74B8" w:rsidRPr="00687F90" w:rsidRDefault="000B74B8" w:rsidP="00CF0A6C">
      <w:pPr>
        <w:pStyle w:val="BodyText"/>
        <w:ind w:left="180"/>
        <w:rPr>
          <w:b/>
          <w:bCs/>
          <w:color w:val="000000" w:themeColor="text1"/>
          <w:szCs w:val="22"/>
        </w:rPr>
      </w:pPr>
    </w:p>
    <w:p w14:paraId="7D203F17" w14:textId="77777777" w:rsidR="000B74B8" w:rsidRPr="00687F90" w:rsidRDefault="000B74B8" w:rsidP="00CF0A6C">
      <w:pPr>
        <w:pStyle w:val="BodyText"/>
        <w:ind w:left="180"/>
        <w:rPr>
          <w:i/>
          <w:color w:val="000000" w:themeColor="text1"/>
          <w:szCs w:val="22"/>
        </w:rPr>
      </w:pPr>
      <w:r w:rsidRPr="00687F90">
        <w:rPr>
          <w:i/>
          <w:color w:val="000000" w:themeColor="text1"/>
          <w:szCs w:val="22"/>
        </w:rPr>
        <w:t xml:space="preserve">Democracy and Governance </w:t>
      </w:r>
    </w:p>
    <w:p w14:paraId="59214466"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What governance arrangements for local authorities best respond to the demands of local government in 2030? What should be the role of the councillor in 2030? How can we make elected members more representative of the diverse communities they serve? How can public interest and local electoral turnout be increased?</w:t>
      </w:r>
    </w:p>
    <w:p w14:paraId="6C49DE62" w14:textId="77777777" w:rsidR="000B74B8" w:rsidRPr="00687F90" w:rsidRDefault="000B74B8" w:rsidP="00CF0A6C">
      <w:pPr>
        <w:pStyle w:val="BodyText"/>
        <w:ind w:left="180"/>
        <w:rPr>
          <w:color w:val="000000" w:themeColor="text1"/>
          <w:szCs w:val="22"/>
        </w:rPr>
      </w:pPr>
    </w:p>
    <w:p w14:paraId="68E553EE"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How should we ensure the accountability of local service delivery and decision-making across the complex landscape within which local government will be operating in 2030? Should we seek to rationalise this complex landscape of local government structures, and how?</w:t>
      </w:r>
    </w:p>
    <w:p w14:paraId="40D1B4E4" w14:textId="77777777" w:rsidR="000B74B8" w:rsidRPr="00687F90" w:rsidRDefault="000B74B8" w:rsidP="00CF0A6C">
      <w:pPr>
        <w:pStyle w:val="BodyText"/>
        <w:ind w:left="180"/>
        <w:rPr>
          <w:b/>
          <w:bCs/>
          <w:color w:val="000000" w:themeColor="text1"/>
          <w:szCs w:val="22"/>
        </w:rPr>
      </w:pPr>
    </w:p>
    <w:p w14:paraId="48156A17" w14:textId="77777777" w:rsidR="000B74B8" w:rsidRPr="00687F90" w:rsidRDefault="000B74B8" w:rsidP="00CF0A6C">
      <w:pPr>
        <w:pStyle w:val="BodyText"/>
        <w:ind w:left="180"/>
        <w:rPr>
          <w:i/>
          <w:color w:val="000000" w:themeColor="text1"/>
          <w:szCs w:val="22"/>
        </w:rPr>
      </w:pPr>
      <w:r w:rsidRPr="00687F90">
        <w:rPr>
          <w:i/>
          <w:color w:val="000000" w:themeColor="text1"/>
          <w:szCs w:val="22"/>
        </w:rPr>
        <w:t>Funding</w:t>
      </w:r>
    </w:p>
    <w:p w14:paraId="7893D755" w14:textId="77777777" w:rsidR="000B74B8" w:rsidRPr="00687F90" w:rsidRDefault="000B74B8" w:rsidP="00CF0A6C">
      <w:pPr>
        <w:pStyle w:val="BodyText"/>
        <w:numPr>
          <w:ilvl w:val="0"/>
          <w:numId w:val="3"/>
        </w:numPr>
        <w:rPr>
          <w:b/>
          <w:bCs/>
          <w:color w:val="000000" w:themeColor="text1"/>
          <w:szCs w:val="22"/>
        </w:rPr>
      </w:pPr>
      <w:r w:rsidRPr="00687F90">
        <w:rPr>
          <w:color w:val="000000" w:themeColor="text1"/>
          <w:szCs w:val="22"/>
        </w:rPr>
        <w:t xml:space="preserve">How should local government be sustainably funded, in a way which provides for local accountability? What proportion of local funding should be raised via local taxation, and through what mechanisms? What scope should there be for local variation in the raising of local taxes? How should we address financial inequalities between local authorities? </w:t>
      </w:r>
    </w:p>
    <w:p w14:paraId="5AB8D60F" w14:textId="77777777" w:rsidR="000B74B8" w:rsidRPr="00687F90" w:rsidRDefault="000B74B8" w:rsidP="00CF0A6C">
      <w:pPr>
        <w:pStyle w:val="BodyText"/>
        <w:ind w:left="180"/>
        <w:rPr>
          <w:color w:val="000000" w:themeColor="text1"/>
          <w:szCs w:val="22"/>
        </w:rPr>
      </w:pPr>
    </w:p>
    <w:p w14:paraId="7FF8D2CA" w14:textId="77777777" w:rsidR="000B74B8" w:rsidRPr="00687F90" w:rsidRDefault="000B74B8" w:rsidP="00CF0A6C">
      <w:pPr>
        <w:pStyle w:val="BodyText"/>
        <w:ind w:left="180"/>
        <w:rPr>
          <w:b/>
          <w:bCs/>
          <w:i/>
          <w:color w:val="000000" w:themeColor="text1"/>
          <w:szCs w:val="22"/>
        </w:rPr>
      </w:pPr>
      <w:r w:rsidRPr="00687F90">
        <w:rPr>
          <w:i/>
          <w:color w:val="000000" w:themeColor="text1"/>
          <w:szCs w:val="22"/>
        </w:rPr>
        <w:t xml:space="preserve">Addressing Inequality and Empowering Communities </w:t>
      </w:r>
    </w:p>
    <w:p w14:paraId="07BB8B51"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How should local government address inequalities across the diverse communities it serves? How should local authorities empower and increase the participation of local communities in decision-making? How should councils engage with under-represented groups?</w:t>
      </w:r>
    </w:p>
    <w:p w14:paraId="40DC66B0" w14:textId="77777777" w:rsidR="000B74B8" w:rsidRPr="00687F90" w:rsidRDefault="000B74B8" w:rsidP="00CF0A6C">
      <w:pPr>
        <w:pStyle w:val="BodyText"/>
        <w:rPr>
          <w:color w:val="000000" w:themeColor="text1"/>
          <w:szCs w:val="22"/>
        </w:rPr>
      </w:pPr>
      <w:r w:rsidRPr="00687F90">
        <w:rPr>
          <w:color w:val="000000" w:themeColor="text1"/>
          <w:szCs w:val="22"/>
        </w:rPr>
        <w:t xml:space="preserve"> </w:t>
      </w:r>
    </w:p>
    <w:p w14:paraId="625C339E" w14:textId="77777777" w:rsidR="000B74B8" w:rsidRPr="00687F90" w:rsidRDefault="000B74B8" w:rsidP="00CF0A6C">
      <w:pPr>
        <w:pStyle w:val="BodyText"/>
        <w:ind w:left="180"/>
        <w:rPr>
          <w:i/>
          <w:color w:val="000000" w:themeColor="text1"/>
          <w:szCs w:val="22"/>
        </w:rPr>
      </w:pPr>
      <w:r w:rsidRPr="00687F90">
        <w:rPr>
          <w:i/>
          <w:color w:val="000000" w:themeColor="text1"/>
          <w:szCs w:val="22"/>
        </w:rPr>
        <w:t xml:space="preserve">The Local Government Workforce </w:t>
      </w:r>
    </w:p>
    <w:p w14:paraId="063531C2"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What should be the skills of the future local government workforce? How should we ensure that the workforce of local government mirrors the diverse communities it serves? What working and organisational cultures are necessary to meet the challenges of 2030?</w:t>
      </w:r>
    </w:p>
    <w:p w14:paraId="41C28E88" w14:textId="77777777" w:rsidR="000B74B8" w:rsidRPr="00687F90" w:rsidRDefault="000B74B8" w:rsidP="00CF0A6C">
      <w:pPr>
        <w:pStyle w:val="BodyText"/>
        <w:ind w:left="180"/>
        <w:rPr>
          <w:color w:val="000000" w:themeColor="text1"/>
          <w:szCs w:val="22"/>
        </w:rPr>
      </w:pPr>
    </w:p>
    <w:p w14:paraId="5FE2D3F1" w14:textId="77777777" w:rsidR="000B74B8" w:rsidRPr="00687F90" w:rsidRDefault="000B74B8" w:rsidP="00CF0A6C">
      <w:pPr>
        <w:pStyle w:val="BodyText"/>
        <w:ind w:left="180"/>
        <w:rPr>
          <w:i/>
          <w:color w:val="000000" w:themeColor="text1"/>
          <w:szCs w:val="22"/>
        </w:rPr>
      </w:pPr>
      <w:r w:rsidRPr="00687F90">
        <w:rPr>
          <w:i/>
          <w:color w:val="000000" w:themeColor="text1"/>
          <w:szCs w:val="22"/>
        </w:rPr>
        <w:t>Centre-Local Relations</w:t>
      </w:r>
    </w:p>
    <w:p w14:paraId="1BE9AAE8" w14:textId="77777777" w:rsidR="000B74B8" w:rsidRPr="00687F90" w:rsidRDefault="000B74B8" w:rsidP="00CF0A6C">
      <w:pPr>
        <w:pStyle w:val="BodyText"/>
        <w:numPr>
          <w:ilvl w:val="0"/>
          <w:numId w:val="3"/>
        </w:numPr>
        <w:rPr>
          <w:color w:val="000000" w:themeColor="text1"/>
          <w:szCs w:val="22"/>
        </w:rPr>
      </w:pPr>
      <w:r w:rsidRPr="00687F90">
        <w:rPr>
          <w:color w:val="000000" w:themeColor="text1"/>
          <w:szCs w:val="22"/>
        </w:rPr>
        <w:t xml:space="preserve">Should local government have constitutional protection? If so, what should be the nature of this constitutional protection? What future mechanisms or governance arrangements should be in place for effective dialogue and working relations between central departments, national agencies and local government? </w:t>
      </w:r>
    </w:p>
    <w:p w14:paraId="6E4E3E66" w14:textId="77777777" w:rsidR="000B74B8" w:rsidRPr="00687F90" w:rsidRDefault="000B74B8" w:rsidP="00CF0A6C">
      <w:pPr>
        <w:pStyle w:val="BodyText"/>
        <w:ind w:left="180"/>
        <w:rPr>
          <w:szCs w:val="22"/>
        </w:rPr>
      </w:pPr>
    </w:p>
    <w:p w14:paraId="4ABCD121" w14:textId="77777777" w:rsidR="000B74B8" w:rsidRPr="00687F90" w:rsidRDefault="000B74B8" w:rsidP="00CF0A6C">
      <w:pPr>
        <w:pStyle w:val="BodyText"/>
        <w:ind w:left="180"/>
        <w:rPr>
          <w:szCs w:val="22"/>
        </w:rPr>
      </w:pPr>
      <w:r w:rsidRPr="00687F90">
        <w:rPr>
          <w:szCs w:val="22"/>
        </w:rPr>
        <w:lastRenderedPageBreak/>
        <w:t>Views are welcome from the local government sector itself and from any experts or individuals with an interest in local government and local services and with views about how best to ensure that the sector has a sustainable future.</w:t>
      </w:r>
    </w:p>
    <w:p w14:paraId="48AFC56A" w14:textId="77777777" w:rsidR="000B74B8" w:rsidRPr="00687F90" w:rsidRDefault="000B74B8" w:rsidP="00CF0A6C">
      <w:pPr>
        <w:pStyle w:val="BodyText"/>
        <w:ind w:left="180"/>
        <w:rPr>
          <w:szCs w:val="22"/>
        </w:rPr>
      </w:pPr>
    </w:p>
    <w:p w14:paraId="1A3558F7" w14:textId="77777777" w:rsidR="000B74B8" w:rsidRPr="00687F90" w:rsidRDefault="000B74B8" w:rsidP="00CF0A6C">
      <w:pPr>
        <w:pStyle w:val="BodyText"/>
        <w:ind w:left="180"/>
        <w:rPr>
          <w:b/>
          <w:szCs w:val="22"/>
        </w:rPr>
      </w:pPr>
      <w:r w:rsidRPr="00687F90">
        <w:rPr>
          <w:szCs w:val="22"/>
        </w:rPr>
        <w:t xml:space="preserve">The closing date for receipt of submissions is </w:t>
      </w:r>
      <w:r w:rsidRPr="00687F90">
        <w:rPr>
          <w:b/>
          <w:bCs/>
          <w:szCs w:val="22"/>
        </w:rPr>
        <w:t>Monday 16</w:t>
      </w:r>
      <w:r w:rsidRPr="00687F90">
        <w:rPr>
          <w:b/>
          <w:bCs/>
          <w:szCs w:val="22"/>
          <w:vertAlign w:val="superscript"/>
        </w:rPr>
        <w:t>th</w:t>
      </w:r>
      <w:r w:rsidRPr="00687F90">
        <w:rPr>
          <w:b/>
          <w:bCs/>
          <w:szCs w:val="22"/>
        </w:rPr>
        <w:t xml:space="preserve"> December 2019.</w:t>
      </w:r>
    </w:p>
    <w:p w14:paraId="0BA2ACF6" w14:textId="77777777" w:rsidR="000B74B8" w:rsidRPr="00687F90" w:rsidRDefault="000B74B8" w:rsidP="00CF0A6C">
      <w:pPr>
        <w:pStyle w:val="BodyText"/>
        <w:ind w:left="180"/>
        <w:rPr>
          <w:szCs w:val="22"/>
        </w:rPr>
      </w:pPr>
    </w:p>
    <w:p w14:paraId="7AD219CD" w14:textId="77777777" w:rsidR="00CF0A6C" w:rsidRPr="00687F90" w:rsidRDefault="00CF0A6C" w:rsidP="00CF0A6C">
      <w:pPr>
        <w:pStyle w:val="Heading1"/>
        <w:spacing w:before="19"/>
        <w:ind w:left="0" w:firstLine="160"/>
        <w:jc w:val="left"/>
        <w:rPr>
          <w:sz w:val="22"/>
          <w:szCs w:val="22"/>
        </w:rPr>
      </w:pPr>
      <w:r w:rsidRPr="00687F90">
        <w:rPr>
          <w:sz w:val="22"/>
          <w:szCs w:val="22"/>
        </w:rPr>
        <w:t>How to submit your evidence</w:t>
      </w:r>
    </w:p>
    <w:p w14:paraId="6934D5C4" w14:textId="77777777" w:rsidR="00CF0A6C" w:rsidRPr="00687F90" w:rsidRDefault="00CF0A6C" w:rsidP="00CF0A6C">
      <w:pPr>
        <w:pStyle w:val="BodyText"/>
        <w:spacing w:before="272" w:line="216" w:lineRule="auto"/>
        <w:ind w:left="160" w:right="876"/>
        <w:rPr>
          <w:szCs w:val="22"/>
        </w:rPr>
      </w:pPr>
      <w:r w:rsidRPr="00687F90">
        <w:rPr>
          <w:szCs w:val="22"/>
        </w:rPr>
        <w:t xml:space="preserve">Before making a submission, please read our </w:t>
      </w:r>
      <w:hyperlink r:id="rId10">
        <w:r w:rsidRPr="00687F90">
          <w:rPr>
            <w:szCs w:val="22"/>
            <w:u w:val="single"/>
          </w:rPr>
          <w:t>GDPR Policy Statement</w:t>
        </w:r>
      </w:hyperlink>
      <w:r w:rsidRPr="00687F90">
        <w:rPr>
          <w:szCs w:val="22"/>
        </w:rPr>
        <w:t xml:space="preserve"> about submitting your views to a Committee. This tells you about how we process your personal data.</w:t>
      </w:r>
    </w:p>
    <w:p w14:paraId="2AF9A9A1" w14:textId="77777777" w:rsidR="00CF0A6C" w:rsidRPr="00687F90" w:rsidRDefault="00CF0A6C" w:rsidP="00CF0A6C">
      <w:pPr>
        <w:pStyle w:val="BodyText"/>
        <w:spacing w:before="8"/>
        <w:rPr>
          <w:szCs w:val="22"/>
        </w:rPr>
      </w:pPr>
    </w:p>
    <w:p w14:paraId="46ED4EC5" w14:textId="77777777" w:rsidR="00CF0A6C" w:rsidRPr="00687F90" w:rsidRDefault="00CF0A6C" w:rsidP="00CF0A6C">
      <w:pPr>
        <w:pStyle w:val="BodyText"/>
        <w:spacing w:line="216" w:lineRule="auto"/>
        <w:ind w:left="160" w:right="156"/>
        <w:rPr>
          <w:szCs w:val="22"/>
        </w:rPr>
      </w:pPr>
      <w:r w:rsidRPr="00687F90">
        <w:rPr>
          <w:szCs w:val="22"/>
        </w:rPr>
        <w:t xml:space="preserve">Your response </w:t>
      </w:r>
      <w:r w:rsidRPr="00687F90">
        <w:rPr>
          <w:szCs w:val="22"/>
          <w:u w:val="single"/>
        </w:rPr>
        <w:t>does not need to cover all of the priority areas specified</w:t>
      </w:r>
      <w:r w:rsidRPr="00687F90">
        <w:rPr>
          <w:szCs w:val="22"/>
        </w:rPr>
        <w:t xml:space="preserve"> and can just focus on those that are relevant to you or your organisation. Also, you are welcome to provide other information that you </w:t>
      </w:r>
      <w:r w:rsidRPr="00687F90">
        <w:rPr>
          <w:spacing w:val="-4"/>
          <w:szCs w:val="22"/>
        </w:rPr>
        <w:t xml:space="preserve">feel </w:t>
      </w:r>
      <w:r w:rsidRPr="00687F90">
        <w:rPr>
          <w:szCs w:val="22"/>
        </w:rPr>
        <w:t>would be</w:t>
      </w:r>
      <w:r w:rsidRPr="00687F90">
        <w:rPr>
          <w:spacing w:val="6"/>
          <w:szCs w:val="22"/>
        </w:rPr>
        <w:t xml:space="preserve"> </w:t>
      </w:r>
      <w:r w:rsidRPr="00687F90">
        <w:rPr>
          <w:szCs w:val="22"/>
        </w:rPr>
        <w:t>relevant.</w:t>
      </w:r>
    </w:p>
    <w:p w14:paraId="18F3A7C5" w14:textId="77777777" w:rsidR="00CF0A6C" w:rsidRPr="00687F90" w:rsidRDefault="00CF0A6C" w:rsidP="00CF0A6C">
      <w:pPr>
        <w:pStyle w:val="BodyText"/>
        <w:spacing w:before="8"/>
        <w:rPr>
          <w:szCs w:val="22"/>
        </w:rPr>
      </w:pPr>
    </w:p>
    <w:p w14:paraId="5677FFFD" w14:textId="77777777" w:rsidR="00CF0A6C" w:rsidRPr="00687F90" w:rsidRDefault="00CF0A6C" w:rsidP="00CF0A6C">
      <w:pPr>
        <w:pStyle w:val="BodyText"/>
        <w:spacing w:before="1" w:line="216" w:lineRule="auto"/>
        <w:ind w:left="160" w:right="157"/>
        <w:rPr>
          <w:szCs w:val="22"/>
        </w:rPr>
      </w:pPr>
      <w:r w:rsidRPr="00687F90">
        <w:rPr>
          <w:szCs w:val="22"/>
        </w:rPr>
        <w:t>Submissions on behalf of organisations, should include details of the name of the organisation, the name of the individual submitting the evidence on behalf of the organisation, job title in organisation, address of the organisation, email and telephone.</w:t>
      </w:r>
    </w:p>
    <w:p w14:paraId="54A47B6E" w14:textId="77777777" w:rsidR="00CF0A6C" w:rsidRPr="00687F90" w:rsidRDefault="00CF0A6C" w:rsidP="00CF0A6C">
      <w:pPr>
        <w:pStyle w:val="BodyText"/>
        <w:spacing w:before="8"/>
        <w:rPr>
          <w:szCs w:val="22"/>
        </w:rPr>
      </w:pPr>
    </w:p>
    <w:p w14:paraId="452001BA" w14:textId="77777777" w:rsidR="00CF0A6C" w:rsidRPr="00687F90" w:rsidRDefault="00CF0A6C" w:rsidP="00CF0A6C">
      <w:pPr>
        <w:pStyle w:val="BodyText"/>
        <w:spacing w:line="216" w:lineRule="auto"/>
        <w:ind w:left="160"/>
        <w:rPr>
          <w:szCs w:val="22"/>
        </w:rPr>
      </w:pPr>
      <w:r w:rsidRPr="00687F90">
        <w:rPr>
          <w:szCs w:val="22"/>
        </w:rPr>
        <w:t>Submissions on behalf of individuals, should include the name of the individual submitting the evidence, address, email and telephone.</w:t>
      </w:r>
    </w:p>
    <w:p w14:paraId="77EF2372" w14:textId="77777777" w:rsidR="00CF0A6C" w:rsidRPr="00687F90" w:rsidRDefault="00CF0A6C" w:rsidP="00CF0A6C">
      <w:pPr>
        <w:pStyle w:val="BodyText"/>
        <w:spacing w:before="8"/>
        <w:rPr>
          <w:szCs w:val="22"/>
        </w:rPr>
      </w:pPr>
    </w:p>
    <w:p w14:paraId="2C2FB551" w14:textId="77777777" w:rsidR="00CF0A6C" w:rsidRPr="00687F90" w:rsidRDefault="00CF0A6C" w:rsidP="00CF0A6C">
      <w:pPr>
        <w:pStyle w:val="BodyText"/>
        <w:spacing w:line="216" w:lineRule="auto"/>
        <w:ind w:left="160"/>
        <w:rPr>
          <w:szCs w:val="22"/>
        </w:rPr>
      </w:pPr>
      <w:r w:rsidRPr="00687F90">
        <w:rPr>
          <w:szCs w:val="22"/>
        </w:rPr>
        <w:t>Submissions should ideally be submitted via email in the form of a Word or PDF attachment. If possible, we would be grateful if you could keep your submission to a maximum of 4 sides of A4.</w:t>
      </w:r>
    </w:p>
    <w:p w14:paraId="3D4BA34B" w14:textId="77777777" w:rsidR="00CF0A6C" w:rsidRPr="00687F90" w:rsidRDefault="00CF0A6C" w:rsidP="00CF0A6C">
      <w:pPr>
        <w:pStyle w:val="BodyText"/>
        <w:spacing w:before="8"/>
        <w:rPr>
          <w:szCs w:val="22"/>
        </w:rPr>
      </w:pPr>
    </w:p>
    <w:p w14:paraId="19C436EF" w14:textId="77777777" w:rsidR="00CF0A6C" w:rsidRPr="00687F90" w:rsidRDefault="00CF0A6C" w:rsidP="00CF0A6C">
      <w:pPr>
        <w:pStyle w:val="BodyText"/>
        <w:spacing w:line="216" w:lineRule="auto"/>
        <w:ind w:left="160" w:right="154"/>
        <w:rPr>
          <w:szCs w:val="22"/>
        </w:rPr>
      </w:pPr>
      <w:r w:rsidRPr="00687F90">
        <w:rPr>
          <w:szCs w:val="22"/>
        </w:rPr>
        <w:t>All</w:t>
      </w:r>
      <w:r w:rsidRPr="00687F90">
        <w:rPr>
          <w:spacing w:val="-10"/>
          <w:szCs w:val="22"/>
        </w:rPr>
        <w:t xml:space="preserve"> </w:t>
      </w:r>
      <w:r w:rsidRPr="00687F90">
        <w:rPr>
          <w:szCs w:val="22"/>
        </w:rPr>
        <w:t>submissions</w:t>
      </w:r>
      <w:r w:rsidRPr="00687F90">
        <w:rPr>
          <w:spacing w:val="-10"/>
          <w:szCs w:val="22"/>
        </w:rPr>
        <w:t xml:space="preserve"> </w:t>
      </w:r>
      <w:r w:rsidRPr="00687F90">
        <w:rPr>
          <w:szCs w:val="22"/>
        </w:rPr>
        <w:t>should</w:t>
      </w:r>
      <w:r w:rsidRPr="00687F90">
        <w:rPr>
          <w:spacing w:val="-10"/>
          <w:szCs w:val="22"/>
        </w:rPr>
        <w:t xml:space="preserve"> </w:t>
      </w:r>
      <w:r w:rsidRPr="00687F90">
        <w:rPr>
          <w:szCs w:val="22"/>
        </w:rPr>
        <w:t>indicate</w:t>
      </w:r>
      <w:r w:rsidRPr="00687F90">
        <w:rPr>
          <w:spacing w:val="-10"/>
          <w:szCs w:val="22"/>
        </w:rPr>
        <w:t xml:space="preserve"> </w:t>
      </w:r>
      <w:r w:rsidRPr="00687F90">
        <w:rPr>
          <w:szCs w:val="22"/>
        </w:rPr>
        <w:t>if</w:t>
      </w:r>
      <w:r w:rsidRPr="00687F90">
        <w:rPr>
          <w:spacing w:val="-10"/>
          <w:szCs w:val="22"/>
        </w:rPr>
        <w:t xml:space="preserve"> </w:t>
      </w:r>
      <w:r w:rsidRPr="00687F90">
        <w:rPr>
          <w:szCs w:val="22"/>
        </w:rPr>
        <w:t>the</w:t>
      </w:r>
      <w:r w:rsidRPr="00687F90">
        <w:rPr>
          <w:spacing w:val="-10"/>
          <w:szCs w:val="22"/>
        </w:rPr>
        <w:t xml:space="preserve"> </w:t>
      </w:r>
      <w:r w:rsidRPr="00687F90">
        <w:rPr>
          <w:szCs w:val="22"/>
        </w:rPr>
        <w:t>submission</w:t>
      </w:r>
      <w:r w:rsidRPr="00687F90">
        <w:rPr>
          <w:spacing w:val="-10"/>
          <w:szCs w:val="22"/>
        </w:rPr>
        <w:t xml:space="preserve"> </w:t>
      </w:r>
      <w:r w:rsidRPr="00687F90">
        <w:rPr>
          <w:szCs w:val="22"/>
        </w:rPr>
        <w:t>is</w:t>
      </w:r>
      <w:r w:rsidRPr="00687F90">
        <w:rPr>
          <w:spacing w:val="-10"/>
          <w:szCs w:val="22"/>
        </w:rPr>
        <w:t xml:space="preserve"> </w:t>
      </w:r>
      <w:r w:rsidRPr="00687F90">
        <w:rPr>
          <w:szCs w:val="22"/>
        </w:rPr>
        <w:t>to</w:t>
      </w:r>
      <w:r w:rsidRPr="00687F90">
        <w:rPr>
          <w:spacing w:val="-10"/>
          <w:szCs w:val="22"/>
        </w:rPr>
        <w:t xml:space="preserve"> </w:t>
      </w:r>
      <w:r w:rsidRPr="00687F90">
        <w:rPr>
          <w:szCs w:val="22"/>
        </w:rPr>
        <w:t>be</w:t>
      </w:r>
      <w:r w:rsidRPr="00687F90">
        <w:rPr>
          <w:spacing w:val="-10"/>
          <w:szCs w:val="22"/>
        </w:rPr>
        <w:t xml:space="preserve"> </w:t>
      </w:r>
      <w:r w:rsidRPr="00687F90">
        <w:rPr>
          <w:szCs w:val="22"/>
        </w:rPr>
        <w:t>kept</w:t>
      </w:r>
      <w:r w:rsidRPr="00687F90">
        <w:rPr>
          <w:spacing w:val="-10"/>
          <w:szCs w:val="22"/>
        </w:rPr>
        <w:t xml:space="preserve"> </w:t>
      </w:r>
      <w:r w:rsidRPr="00687F90">
        <w:rPr>
          <w:szCs w:val="22"/>
        </w:rPr>
        <w:t>confidential.</w:t>
      </w:r>
      <w:r w:rsidRPr="00687F90">
        <w:rPr>
          <w:spacing w:val="-10"/>
          <w:szCs w:val="22"/>
        </w:rPr>
        <w:t xml:space="preserve"> </w:t>
      </w:r>
      <w:r w:rsidRPr="00687F90">
        <w:rPr>
          <w:szCs w:val="22"/>
        </w:rPr>
        <w:t>If</w:t>
      </w:r>
      <w:r w:rsidRPr="00687F90">
        <w:rPr>
          <w:spacing w:val="-10"/>
          <w:szCs w:val="22"/>
        </w:rPr>
        <w:t xml:space="preserve"> </w:t>
      </w:r>
      <w:r w:rsidRPr="00687F90">
        <w:rPr>
          <w:szCs w:val="22"/>
        </w:rPr>
        <w:t>not,</w:t>
      </w:r>
      <w:r w:rsidRPr="00687F90">
        <w:rPr>
          <w:spacing w:val="-10"/>
          <w:szCs w:val="22"/>
        </w:rPr>
        <w:t xml:space="preserve"> </w:t>
      </w:r>
      <w:r w:rsidRPr="00687F90">
        <w:rPr>
          <w:szCs w:val="22"/>
        </w:rPr>
        <w:t>submissions</w:t>
      </w:r>
      <w:r w:rsidRPr="00687F90">
        <w:rPr>
          <w:spacing w:val="-10"/>
          <w:szCs w:val="22"/>
        </w:rPr>
        <w:t xml:space="preserve"> </w:t>
      </w:r>
      <w:r w:rsidRPr="00687F90">
        <w:rPr>
          <w:szCs w:val="22"/>
        </w:rPr>
        <w:t>will</w:t>
      </w:r>
      <w:r w:rsidRPr="00687F90">
        <w:rPr>
          <w:spacing w:val="-9"/>
          <w:szCs w:val="22"/>
        </w:rPr>
        <w:t xml:space="preserve"> </w:t>
      </w:r>
      <w:r w:rsidRPr="00687F90">
        <w:rPr>
          <w:szCs w:val="22"/>
        </w:rPr>
        <w:t>be</w:t>
      </w:r>
      <w:r w:rsidRPr="00687F90">
        <w:rPr>
          <w:spacing w:val="-10"/>
          <w:szCs w:val="22"/>
        </w:rPr>
        <w:t xml:space="preserve"> </w:t>
      </w:r>
      <w:r w:rsidRPr="00687F90">
        <w:rPr>
          <w:szCs w:val="22"/>
        </w:rPr>
        <w:t>published on the Commission</w:t>
      </w:r>
      <w:r w:rsidRPr="00687F90">
        <w:rPr>
          <w:spacing w:val="-1"/>
          <w:szCs w:val="22"/>
        </w:rPr>
        <w:t xml:space="preserve"> </w:t>
      </w:r>
      <w:r w:rsidRPr="00687F90">
        <w:rPr>
          <w:szCs w:val="22"/>
        </w:rPr>
        <w:t>webpage.</w:t>
      </w:r>
    </w:p>
    <w:p w14:paraId="177C3BA1" w14:textId="77777777" w:rsidR="00CF0A6C" w:rsidRPr="00687F90" w:rsidRDefault="00CF0A6C" w:rsidP="00CF0A6C">
      <w:pPr>
        <w:pStyle w:val="BodyText"/>
        <w:spacing w:before="8"/>
        <w:rPr>
          <w:szCs w:val="22"/>
        </w:rPr>
      </w:pPr>
    </w:p>
    <w:p w14:paraId="140849EF" w14:textId="77777777" w:rsidR="00CF0A6C" w:rsidRPr="00687F90" w:rsidRDefault="00CF0A6C" w:rsidP="00CF0A6C">
      <w:pPr>
        <w:pStyle w:val="BodyText"/>
        <w:spacing w:line="216" w:lineRule="auto"/>
        <w:ind w:left="160" w:right="144"/>
        <w:rPr>
          <w:szCs w:val="22"/>
        </w:rPr>
      </w:pPr>
      <w:r w:rsidRPr="00687F90">
        <w:rPr>
          <w:szCs w:val="22"/>
        </w:rPr>
        <w:t>We welcome written views in English, Gaelic, Scots, Welsh or any other language. Due to the time required to process and analyse evidence, late submissions will only be accepted with the agreement of the Commission.</w:t>
      </w:r>
    </w:p>
    <w:p w14:paraId="0FA588D4" w14:textId="77777777" w:rsidR="00DA5044" w:rsidRPr="00687F90" w:rsidRDefault="00DA5044" w:rsidP="00CF0A6C">
      <w:pPr>
        <w:pStyle w:val="BodyText"/>
        <w:spacing w:line="216" w:lineRule="auto"/>
        <w:ind w:left="160" w:right="144"/>
        <w:rPr>
          <w:szCs w:val="22"/>
        </w:rPr>
      </w:pPr>
    </w:p>
    <w:p w14:paraId="1D092361" w14:textId="77777777" w:rsidR="00CF0A6C" w:rsidRPr="00687F90" w:rsidRDefault="00CF0A6C" w:rsidP="00D6492F">
      <w:pPr>
        <w:pStyle w:val="BodyText"/>
        <w:ind w:firstLine="180"/>
        <w:rPr>
          <w:b/>
          <w:szCs w:val="22"/>
        </w:rPr>
      </w:pPr>
      <w:r w:rsidRPr="00687F90">
        <w:rPr>
          <w:szCs w:val="22"/>
        </w:rPr>
        <w:t xml:space="preserve">Submissions should be sent by email to: </w:t>
      </w:r>
      <w:hyperlink r:id="rId11">
        <w:r w:rsidRPr="00687F90">
          <w:rPr>
            <w:rStyle w:val="Strong"/>
            <w:szCs w:val="22"/>
          </w:rPr>
          <w:t>algc@apse.org.uk</w:t>
        </w:r>
      </w:hyperlink>
    </w:p>
    <w:p w14:paraId="029EF3A5" w14:textId="77777777" w:rsidR="00CF0A6C" w:rsidRPr="00687F90" w:rsidRDefault="00CF0A6C" w:rsidP="00D6492F">
      <w:pPr>
        <w:pStyle w:val="BodyText"/>
        <w:ind w:firstLine="180"/>
        <w:rPr>
          <w:b/>
          <w:szCs w:val="22"/>
        </w:rPr>
      </w:pPr>
    </w:p>
    <w:p w14:paraId="26F5A549" w14:textId="77777777" w:rsidR="00CF0A6C" w:rsidRPr="00687F90" w:rsidRDefault="00CF0A6C" w:rsidP="00D6492F">
      <w:pPr>
        <w:pStyle w:val="BodyText"/>
        <w:ind w:left="180"/>
        <w:rPr>
          <w:szCs w:val="22"/>
        </w:rPr>
      </w:pPr>
      <w:r w:rsidRPr="00687F90">
        <w:rPr>
          <w:szCs w:val="22"/>
        </w:rPr>
        <w:t xml:space="preserve">If you cannot submit electronically you may send in a hard copy written submission. Please send them to: </w:t>
      </w:r>
      <w:r w:rsidRPr="00687F90">
        <w:rPr>
          <w:rStyle w:val="Strong"/>
          <w:szCs w:val="22"/>
        </w:rPr>
        <w:t>The APSE Local Government Commission, APSE Manchester, 3rd floor Trafford House, Chester Road, Manchester, M32 0RS</w:t>
      </w:r>
    </w:p>
    <w:p w14:paraId="18EAB2F4" w14:textId="136A95A8" w:rsidR="00007B43" w:rsidRPr="00687F90" w:rsidRDefault="00BF76B1" w:rsidP="00D6492F">
      <w:pPr>
        <w:pStyle w:val="BodyText"/>
        <w:spacing w:before="254"/>
        <w:ind w:firstLine="180"/>
        <w:rPr>
          <w:rStyle w:val="Strong"/>
          <w:szCs w:val="22"/>
        </w:rPr>
      </w:pPr>
      <w:hyperlink r:id="rId12">
        <w:r w:rsidR="00CF0A6C" w:rsidRPr="00687F90">
          <w:rPr>
            <w:szCs w:val="22"/>
          </w:rPr>
          <w:t xml:space="preserve">If you have any further questions regarding the Commission please contact </w:t>
        </w:r>
        <w:r w:rsidR="00CF0A6C" w:rsidRPr="00687F90">
          <w:rPr>
            <w:rStyle w:val="Strong"/>
            <w:szCs w:val="22"/>
          </w:rPr>
          <w:t>algc@apse.org.uk</w:t>
        </w:r>
      </w:hyperlink>
    </w:p>
    <w:p w14:paraId="0AAC69FC" w14:textId="194856A1" w:rsidR="00A85323" w:rsidRPr="0036441F" w:rsidRDefault="00A85323" w:rsidP="0036441F">
      <w:pPr>
        <w:rPr>
          <w:b/>
          <w:bCs/>
          <w:sz w:val="24"/>
          <w:szCs w:val="24"/>
        </w:rPr>
      </w:pPr>
    </w:p>
    <w:sectPr w:rsidR="00A85323" w:rsidRPr="0036441F" w:rsidSect="00007B43">
      <w:pgSz w:w="11910" w:h="16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CC3F" w14:textId="77777777" w:rsidR="00210272" w:rsidRDefault="00210272">
      <w:r>
        <w:separator/>
      </w:r>
    </w:p>
  </w:endnote>
  <w:endnote w:type="continuationSeparator" w:id="0">
    <w:p w14:paraId="52ADB705" w14:textId="77777777" w:rsidR="00210272" w:rsidRDefault="002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yriadPro-Light">
    <w:altName w:val="Myriad Pro Light"/>
    <w:charset w:val="00"/>
    <w:family w:val="auto"/>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94B6" w14:textId="292E13ED" w:rsidR="00A85323" w:rsidRPr="00D6492F" w:rsidRDefault="00D6492F" w:rsidP="00D6492F">
    <w:pPr>
      <w:pStyle w:val="Footer"/>
    </w:pPr>
    <w:r>
      <w:rPr>
        <w:noProof/>
        <w:lang w:val="en-US" w:eastAsia="en-US" w:bidi="ar-SA"/>
      </w:rPr>
      <w:drawing>
        <wp:inline distT="0" distB="0" distL="0" distR="0" wp14:anchorId="67BF2DA2" wp14:editId="11BB1742">
          <wp:extent cx="3043319" cy="8146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C wide.jpg"/>
                  <pic:cNvPicPr/>
                </pic:nvPicPr>
                <pic:blipFill rotWithShape="1">
                  <a:blip r:embed="rId1">
                    <a:extLst>
                      <a:ext uri="{28A0092B-C50C-407E-A947-70E740481C1C}">
                        <a14:useLocalDpi xmlns:a14="http://schemas.microsoft.com/office/drawing/2010/main" val="0"/>
                      </a:ext>
                    </a:extLst>
                  </a:blip>
                  <a:srcRect t="-50201" b="2"/>
                  <a:stretch/>
                </pic:blipFill>
                <pic:spPr bwMode="auto">
                  <a:xfrm>
                    <a:off x="0" y="0"/>
                    <a:ext cx="3078819" cy="82415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1EAF" w14:textId="77777777" w:rsidR="00210272" w:rsidRDefault="00210272">
      <w:r>
        <w:separator/>
      </w:r>
    </w:p>
  </w:footnote>
  <w:footnote w:type="continuationSeparator" w:id="0">
    <w:p w14:paraId="02A66457" w14:textId="77777777" w:rsidR="00210272" w:rsidRDefault="0021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81451"/>
    <w:multiLevelType w:val="hybridMultilevel"/>
    <w:tmpl w:val="5AE2FEA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575975"/>
    <w:multiLevelType w:val="hybridMultilevel"/>
    <w:tmpl w:val="1068BE38"/>
    <w:lvl w:ilvl="0" w:tplc="99E44310">
      <w:start w:val="1"/>
      <w:numFmt w:val="decimal"/>
      <w:lvlText w:val="%1."/>
      <w:lvlJc w:val="left"/>
      <w:pPr>
        <w:ind w:left="5820" w:hanging="360"/>
      </w:pPr>
      <w:rPr>
        <w:rFonts w:hint="default"/>
        <w:b w:val="0"/>
      </w:rPr>
    </w:lvl>
    <w:lvl w:ilvl="1" w:tplc="08090019" w:tentative="1">
      <w:start w:val="1"/>
      <w:numFmt w:val="lowerLetter"/>
      <w:lvlText w:val="%2."/>
      <w:lvlJc w:val="left"/>
      <w:pPr>
        <w:ind w:left="6540" w:hanging="360"/>
      </w:pPr>
    </w:lvl>
    <w:lvl w:ilvl="2" w:tplc="0809001B" w:tentative="1">
      <w:start w:val="1"/>
      <w:numFmt w:val="lowerRoman"/>
      <w:lvlText w:val="%3."/>
      <w:lvlJc w:val="right"/>
      <w:pPr>
        <w:ind w:left="7260" w:hanging="180"/>
      </w:pPr>
    </w:lvl>
    <w:lvl w:ilvl="3" w:tplc="0809000F" w:tentative="1">
      <w:start w:val="1"/>
      <w:numFmt w:val="decimal"/>
      <w:lvlText w:val="%4."/>
      <w:lvlJc w:val="left"/>
      <w:pPr>
        <w:ind w:left="7980" w:hanging="360"/>
      </w:pPr>
    </w:lvl>
    <w:lvl w:ilvl="4" w:tplc="08090019" w:tentative="1">
      <w:start w:val="1"/>
      <w:numFmt w:val="lowerLetter"/>
      <w:lvlText w:val="%5."/>
      <w:lvlJc w:val="left"/>
      <w:pPr>
        <w:ind w:left="8700" w:hanging="360"/>
      </w:pPr>
    </w:lvl>
    <w:lvl w:ilvl="5" w:tplc="0809001B" w:tentative="1">
      <w:start w:val="1"/>
      <w:numFmt w:val="lowerRoman"/>
      <w:lvlText w:val="%6."/>
      <w:lvlJc w:val="right"/>
      <w:pPr>
        <w:ind w:left="9420" w:hanging="180"/>
      </w:pPr>
    </w:lvl>
    <w:lvl w:ilvl="6" w:tplc="0809000F" w:tentative="1">
      <w:start w:val="1"/>
      <w:numFmt w:val="decimal"/>
      <w:lvlText w:val="%7."/>
      <w:lvlJc w:val="left"/>
      <w:pPr>
        <w:ind w:left="10140" w:hanging="360"/>
      </w:pPr>
    </w:lvl>
    <w:lvl w:ilvl="7" w:tplc="08090019" w:tentative="1">
      <w:start w:val="1"/>
      <w:numFmt w:val="lowerLetter"/>
      <w:lvlText w:val="%8."/>
      <w:lvlJc w:val="left"/>
      <w:pPr>
        <w:ind w:left="10860" w:hanging="360"/>
      </w:pPr>
    </w:lvl>
    <w:lvl w:ilvl="8" w:tplc="0809001B" w:tentative="1">
      <w:start w:val="1"/>
      <w:numFmt w:val="lowerRoman"/>
      <w:lvlText w:val="%9."/>
      <w:lvlJc w:val="right"/>
      <w:pPr>
        <w:ind w:left="11580" w:hanging="180"/>
      </w:pPr>
    </w:lvl>
  </w:abstractNum>
  <w:abstractNum w:abstractNumId="2" w15:restartNumberingAfterBreak="0">
    <w:nsid w:val="46DD61F5"/>
    <w:multiLevelType w:val="hybridMultilevel"/>
    <w:tmpl w:val="33B4D92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4C867E7E"/>
    <w:multiLevelType w:val="hybridMultilevel"/>
    <w:tmpl w:val="0DF01EE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184580B"/>
    <w:multiLevelType w:val="hybridMultilevel"/>
    <w:tmpl w:val="B32043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4734331"/>
    <w:multiLevelType w:val="hybridMultilevel"/>
    <w:tmpl w:val="CCDA5E48"/>
    <w:lvl w:ilvl="0" w:tplc="881885EA">
      <w:start w:val="1"/>
      <w:numFmt w:val="decimal"/>
      <w:lvlText w:val="%1."/>
      <w:lvlJc w:val="left"/>
      <w:pPr>
        <w:ind w:left="160" w:hanging="720"/>
      </w:pPr>
      <w:rPr>
        <w:rFonts w:ascii="MyriadPro-Light" w:eastAsia="MyriadPro-Light" w:hAnsi="MyriadPro-Light" w:cs="MyriadPro-Light" w:hint="default"/>
        <w:spacing w:val="-5"/>
        <w:w w:val="100"/>
        <w:sz w:val="24"/>
        <w:szCs w:val="24"/>
        <w:lang w:val="en-GB" w:eastAsia="en-GB" w:bidi="en-GB"/>
      </w:rPr>
    </w:lvl>
    <w:lvl w:ilvl="1" w:tplc="06E629D4">
      <w:numFmt w:val="bullet"/>
      <w:lvlText w:val="•"/>
      <w:lvlJc w:val="left"/>
      <w:pPr>
        <w:ind w:left="1222" w:hanging="720"/>
      </w:pPr>
      <w:rPr>
        <w:rFonts w:hint="default"/>
        <w:lang w:val="en-GB" w:eastAsia="en-GB" w:bidi="en-GB"/>
      </w:rPr>
    </w:lvl>
    <w:lvl w:ilvl="2" w:tplc="079C24DE">
      <w:numFmt w:val="bullet"/>
      <w:lvlText w:val="•"/>
      <w:lvlJc w:val="left"/>
      <w:pPr>
        <w:ind w:left="2285" w:hanging="720"/>
      </w:pPr>
      <w:rPr>
        <w:rFonts w:hint="default"/>
        <w:lang w:val="en-GB" w:eastAsia="en-GB" w:bidi="en-GB"/>
      </w:rPr>
    </w:lvl>
    <w:lvl w:ilvl="3" w:tplc="AC6E6D6E">
      <w:numFmt w:val="bullet"/>
      <w:lvlText w:val="•"/>
      <w:lvlJc w:val="left"/>
      <w:pPr>
        <w:ind w:left="3347" w:hanging="720"/>
      </w:pPr>
      <w:rPr>
        <w:rFonts w:hint="default"/>
        <w:lang w:val="en-GB" w:eastAsia="en-GB" w:bidi="en-GB"/>
      </w:rPr>
    </w:lvl>
    <w:lvl w:ilvl="4" w:tplc="7B7A81DC">
      <w:numFmt w:val="bullet"/>
      <w:lvlText w:val="•"/>
      <w:lvlJc w:val="left"/>
      <w:pPr>
        <w:ind w:left="4410" w:hanging="720"/>
      </w:pPr>
      <w:rPr>
        <w:rFonts w:hint="default"/>
        <w:lang w:val="en-GB" w:eastAsia="en-GB" w:bidi="en-GB"/>
      </w:rPr>
    </w:lvl>
    <w:lvl w:ilvl="5" w:tplc="55762652">
      <w:numFmt w:val="bullet"/>
      <w:lvlText w:val="•"/>
      <w:lvlJc w:val="left"/>
      <w:pPr>
        <w:ind w:left="5472" w:hanging="720"/>
      </w:pPr>
      <w:rPr>
        <w:rFonts w:hint="default"/>
        <w:lang w:val="en-GB" w:eastAsia="en-GB" w:bidi="en-GB"/>
      </w:rPr>
    </w:lvl>
    <w:lvl w:ilvl="6" w:tplc="5A5045AE">
      <w:numFmt w:val="bullet"/>
      <w:lvlText w:val="•"/>
      <w:lvlJc w:val="left"/>
      <w:pPr>
        <w:ind w:left="6535" w:hanging="720"/>
      </w:pPr>
      <w:rPr>
        <w:rFonts w:hint="default"/>
        <w:lang w:val="en-GB" w:eastAsia="en-GB" w:bidi="en-GB"/>
      </w:rPr>
    </w:lvl>
    <w:lvl w:ilvl="7" w:tplc="9C367156">
      <w:numFmt w:val="bullet"/>
      <w:lvlText w:val="•"/>
      <w:lvlJc w:val="left"/>
      <w:pPr>
        <w:ind w:left="7597" w:hanging="720"/>
      </w:pPr>
      <w:rPr>
        <w:rFonts w:hint="default"/>
        <w:lang w:val="en-GB" w:eastAsia="en-GB" w:bidi="en-GB"/>
      </w:rPr>
    </w:lvl>
    <w:lvl w:ilvl="8" w:tplc="5852BCE0">
      <w:numFmt w:val="bullet"/>
      <w:lvlText w:val="•"/>
      <w:lvlJc w:val="left"/>
      <w:pPr>
        <w:ind w:left="8660" w:hanging="720"/>
      </w:pPr>
      <w:rPr>
        <w:rFonts w:hint="default"/>
        <w:lang w:val="en-GB" w:eastAsia="en-GB" w:bidi="en-GB"/>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85323"/>
    <w:rsid w:val="00007B43"/>
    <w:rsid w:val="000B74B8"/>
    <w:rsid w:val="00210272"/>
    <w:rsid w:val="0036441F"/>
    <w:rsid w:val="003B649F"/>
    <w:rsid w:val="005667C6"/>
    <w:rsid w:val="00687F90"/>
    <w:rsid w:val="006C4DE9"/>
    <w:rsid w:val="00772CF1"/>
    <w:rsid w:val="008F46FC"/>
    <w:rsid w:val="00A85323"/>
    <w:rsid w:val="00BF76B1"/>
    <w:rsid w:val="00CF0A6C"/>
    <w:rsid w:val="00D6492F"/>
    <w:rsid w:val="00DA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04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Pro-Light" w:eastAsia="MyriadPro-Light" w:hAnsi="MyriadPro-Light" w:cs="MyriadPro-Light"/>
      <w:lang w:val="en-GB" w:eastAsia="en-GB" w:bidi="en-GB"/>
    </w:rPr>
  </w:style>
  <w:style w:type="paragraph" w:styleId="Heading1">
    <w:name w:val="heading 1"/>
    <w:basedOn w:val="Normal"/>
    <w:uiPriority w:val="1"/>
    <w:qFormat/>
    <w:rsid w:val="00772CF1"/>
    <w:pPr>
      <w:ind w:left="160"/>
      <w:jc w:val="both"/>
      <w:outlineLvl w:val="0"/>
    </w:pPr>
    <w:rPr>
      <w:rFonts w:ascii="Myriad Pro" w:eastAsia="Myriad Pro" w:hAnsi="Myriad Pro" w:cs="Myriad Pro"/>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4DE9"/>
    <w:rPr>
      <w:rFonts w:ascii="Myriad Pro" w:hAnsi="Myriad Pro"/>
      <w:sz w:val="21"/>
      <w:szCs w:val="24"/>
    </w:rPr>
  </w:style>
  <w:style w:type="paragraph" w:styleId="ListParagraph">
    <w:name w:val="List Paragraph"/>
    <w:basedOn w:val="Normal"/>
    <w:uiPriority w:val="34"/>
    <w:qFormat/>
    <w:pPr>
      <w:ind w:left="160" w:right="157"/>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B74B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B74B8"/>
    <w:pPr>
      <w:tabs>
        <w:tab w:val="center" w:pos="4513"/>
        <w:tab w:val="right" w:pos="9026"/>
      </w:tabs>
    </w:pPr>
  </w:style>
  <w:style w:type="character" w:customStyle="1" w:styleId="HeaderChar">
    <w:name w:val="Header Char"/>
    <w:basedOn w:val="DefaultParagraphFont"/>
    <w:link w:val="Header"/>
    <w:uiPriority w:val="99"/>
    <w:rsid w:val="000B74B8"/>
    <w:rPr>
      <w:rFonts w:ascii="MyriadPro-Light" w:eastAsia="MyriadPro-Light" w:hAnsi="MyriadPro-Light" w:cs="MyriadPro-Light"/>
      <w:lang w:val="en-GB" w:eastAsia="en-GB" w:bidi="en-GB"/>
    </w:rPr>
  </w:style>
  <w:style w:type="paragraph" w:styleId="Footer">
    <w:name w:val="footer"/>
    <w:basedOn w:val="Normal"/>
    <w:link w:val="FooterChar"/>
    <w:uiPriority w:val="99"/>
    <w:unhideWhenUsed/>
    <w:rsid w:val="000B74B8"/>
    <w:pPr>
      <w:tabs>
        <w:tab w:val="center" w:pos="4513"/>
        <w:tab w:val="right" w:pos="9026"/>
      </w:tabs>
    </w:pPr>
  </w:style>
  <w:style w:type="character" w:customStyle="1" w:styleId="FooterChar">
    <w:name w:val="Footer Char"/>
    <w:basedOn w:val="DefaultParagraphFont"/>
    <w:link w:val="Footer"/>
    <w:uiPriority w:val="99"/>
    <w:rsid w:val="000B74B8"/>
    <w:rPr>
      <w:rFonts w:ascii="MyriadPro-Light" w:eastAsia="MyriadPro-Light" w:hAnsi="MyriadPro-Light" w:cs="MyriadPro-Light"/>
      <w:lang w:val="en-GB" w:eastAsia="en-GB" w:bidi="en-GB"/>
    </w:rPr>
  </w:style>
  <w:style w:type="character" w:styleId="Strong">
    <w:name w:val="Strong"/>
    <w:basedOn w:val="DefaultParagraphFont"/>
    <w:uiPriority w:val="22"/>
    <w:qFormat/>
    <w:rsid w:val="00DA5044"/>
    <w:rPr>
      <w:b/>
      <w:bCs/>
    </w:rPr>
  </w:style>
  <w:style w:type="character" w:styleId="BookTitle">
    <w:name w:val="Book Title"/>
    <w:basedOn w:val="DefaultParagraphFont"/>
    <w:uiPriority w:val="33"/>
    <w:qFormat/>
    <w:rsid w:val="00D6492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gc@aps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gc@apse.org.uk" TargetMode="External"/><Relationship Id="rId5" Type="http://schemas.openxmlformats.org/officeDocument/2006/relationships/webSettings" Target="webSettings.xml"/><Relationship Id="rId10" Type="http://schemas.openxmlformats.org/officeDocument/2006/relationships/hyperlink" Target="https://www.apse.org.uk/apse/index.cfm/contact/gdpr-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A7E643-5FEF-4F4A-92DA-D2867E08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Ellis</cp:lastModifiedBy>
  <cp:revision>10</cp:revision>
  <dcterms:created xsi:type="dcterms:W3CDTF">2019-11-01T13:58:00Z</dcterms:created>
  <dcterms:modified xsi:type="dcterms:W3CDTF">2019-11-01T16:31:00Z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Adobe InDesign CC 13.1 (Macintosh)</vt:lpwstr>
  </property>
  <property fmtid="{D5CDD505-2E9C-101B-9397-08002B2CF9AE}" pid="4" name="LastSaved">
    <vt:filetime>2019-11-01T00:00:00Z</vt:filetime>
  </property>
</Properties>
</file>